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5DE" w:rsidP="001105DE">
      <w:pPr>
        <w:pStyle w:val="Title"/>
      </w:pPr>
      <w:r>
        <w:fldChar w:fldCharType="begin"/>
      </w:r>
      <w:r>
        <w:instrText xml:space="preserve"> TITLE   \* MERGEFORMAT </w:instrText>
      </w:r>
      <w:r>
        <w:fldChar w:fldCharType="separate"/>
      </w:r>
      <w:r>
        <w:t>AHCNSY307A Operate fertigation equipment</w:t>
      </w:r>
      <w:r>
        <w:fldChar w:fldCharType="end"/>
      </w:r>
    </w:p>
    <w:p w:rsidR="001105DE" w:rsidP="001105DE">
      <w:pPr>
        <w:pStyle w:val="Version"/>
        <w:sectPr w:rsidSect="00AF24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4BF" w:rsidP="00AF24BF">
      <w:pPr>
        <w:pStyle w:val="SuperHeading"/>
      </w:pPr>
      <w:r w:rsidRPr="00AF24BF">
        <w:t>AHCNSY307A Operate fertigation equipment</w:t>
      </w:r>
    </w:p>
    <w:p w:rsidR="00000000" w:rsidRPr="00AF24BF" w:rsidP="00AF24BF">
      <w:pPr>
        <w:pStyle w:val="Heading1"/>
      </w:pPr>
      <w:bookmarkStart w:id="1" w:name="O_268069"/>
      <w:bookmarkEnd w:id="1"/>
      <w:r w:rsidRPr="00AF24BF">
        <w:t>Modification History</w:t>
      </w:r>
    </w:p>
    <w:p w:rsidR="00000000" w:rsidRPr="00AF24BF" w:rsidP="00AF24BF">
      <w:pPr>
        <w:pStyle w:val="BodyText"/>
      </w:pPr>
      <w:r w:rsidRPr="00AF24BF">
        <w:t>Not Applicable</w:t>
      </w:r>
    </w:p>
    <w:p w:rsidR="00000000" w:rsidRPr="00AF24BF" w:rsidP="00AF24BF">
      <w:pPr>
        <w:pStyle w:val="AllowPageBreak"/>
      </w:pPr>
    </w:p>
    <w:p w:rsidR="00000000" w:rsidRPr="00AF24BF" w:rsidP="00AF24BF">
      <w:pPr>
        <w:pStyle w:val="Heading1"/>
      </w:pPr>
      <w:bookmarkStart w:id="2" w:name="O_189626"/>
      <w:bookmarkEnd w:id="2"/>
      <w:r w:rsidRPr="00AF24BF">
        <w:t>Unit Descriptor</w:t>
      </w:r>
    </w:p>
    <w:tbl>
      <w:tblPr>
        <w:tblW w:w="0" w:type="auto"/>
        <w:tblLayout w:type="fixed"/>
        <w:tblCellMar>
          <w:left w:w="62" w:type="dxa"/>
          <w:right w:w="62" w:type="dxa"/>
        </w:tblCellMar>
        <w:tblLook w:val="0000"/>
      </w:tblPr>
      <w:tblGrid>
        <w:gridCol w:w="2663"/>
        <w:gridCol w:w="5859"/>
      </w:tblGrid>
      <w:tr w:rsidTr="001105DE">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BodyText"/>
            </w:pPr>
            <w:r w:rsidRPr="00AF24BF">
              <w:t>This unit covers the process of operating fertigation equipment to deliver fertilisers via the irrigation syst</w:t>
            </w:r>
            <w:r w:rsidRPr="00AF24BF">
              <w:t>em and defines the standard required to:  calculate and prepare fertigation materials;  connect and calibrate equipment;  operate, monitor and adjust delivery;  shut down and clean equipment;  dispose of waste in an environmentally responsible way.</w:t>
            </w:r>
          </w:p>
        </w:tc>
      </w:tr>
    </w:tbl>
    <w:p w:rsidR="001105DE" w:rsidP="00AF24BF">
      <w:pPr>
        <w:pStyle w:val="BodyText"/>
      </w:pPr>
    </w:p>
    <w:p w:rsidR="001105DE" w:rsidP="00AF24BF">
      <w:pPr>
        <w:pStyle w:val="BodyText"/>
      </w:pPr>
    </w:p>
    <w:p w:rsidR="00000000" w:rsidRPr="00AF24BF" w:rsidP="00AF24BF">
      <w:pPr>
        <w:pStyle w:val="Heading1"/>
      </w:pPr>
      <w:bookmarkStart w:id="3" w:name="O_189630"/>
      <w:bookmarkEnd w:id="3"/>
      <w:r w:rsidRPr="00AF24BF">
        <w:t>Application of the Unit</w:t>
      </w:r>
    </w:p>
    <w:tbl>
      <w:tblPr>
        <w:tblW w:w="0" w:type="auto"/>
        <w:tblLayout w:type="fixed"/>
        <w:tblCellMar>
          <w:left w:w="62" w:type="dxa"/>
          <w:right w:w="62" w:type="dxa"/>
        </w:tblCellMar>
        <w:tblLook w:val="0000"/>
      </w:tblPr>
      <w:tblGrid>
        <w:gridCol w:w="2756"/>
        <w:gridCol w:w="5766"/>
      </w:tblGrid>
      <w:tr w:rsidTr="001105D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BodyText"/>
            </w:pPr>
            <w:r w:rsidRPr="00AF24BF">
              <w:t>This unit is likely to be carried out under routine supervision within enterprise guidelines.</w:t>
            </w:r>
          </w:p>
        </w:tc>
      </w:tr>
    </w:tbl>
    <w:p w:rsidR="001105DE" w:rsidP="00AF24BF">
      <w:pPr>
        <w:pStyle w:val="BodyText"/>
      </w:pPr>
    </w:p>
    <w:p w:rsidR="001105DE" w:rsidP="00AF24BF">
      <w:pPr>
        <w:pStyle w:val="BodyText"/>
      </w:pPr>
    </w:p>
    <w:p w:rsidR="00000000" w:rsidRPr="00AF24BF" w:rsidP="00AF24BF">
      <w:pPr>
        <w:pStyle w:val="Heading1"/>
      </w:pPr>
      <w:bookmarkStart w:id="4" w:name="O_276329"/>
      <w:bookmarkEnd w:id="4"/>
      <w:r w:rsidRPr="00AF24BF">
        <w:t>Licensing/Regulatory Information</w:t>
      </w:r>
    </w:p>
    <w:p w:rsidR="00000000" w:rsidRPr="00AF24BF" w:rsidP="00AF24BF">
      <w:pPr>
        <w:pStyle w:val="BodyText"/>
      </w:pPr>
      <w:r w:rsidRPr="00AF24BF">
        <w:t>Not Applicable</w:t>
      </w:r>
    </w:p>
    <w:p w:rsidR="00000000" w:rsidRPr="00AF24BF" w:rsidP="00AF24BF">
      <w:pPr>
        <w:pStyle w:val="AllowPageBreak"/>
      </w:pPr>
    </w:p>
    <w:p w:rsidR="00000000" w:rsidRPr="00AF24BF" w:rsidP="00AF24BF">
      <w:pPr>
        <w:pStyle w:val="Heading1"/>
      </w:pPr>
      <w:bookmarkStart w:id="5" w:name="O_189628"/>
      <w:bookmarkEnd w:id="5"/>
      <w:r w:rsidRPr="00AF24BF">
        <w:t>Pre-Requisites</w:t>
      </w:r>
    </w:p>
    <w:tbl>
      <w:tblPr>
        <w:tblW w:w="0" w:type="auto"/>
        <w:tblLayout w:type="fixed"/>
        <w:tblCellMar>
          <w:left w:w="62" w:type="dxa"/>
          <w:right w:w="62" w:type="dxa"/>
        </w:tblCellMar>
        <w:tblLook w:val="0000"/>
      </w:tblPr>
      <w:tblGrid>
        <w:gridCol w:w="2775"/>
        <w:gridCol w:w="1295"/>
        <w:gridCol w:w="4452"/>
      </w:tblGrid>
      <w:tr w:rsidTr="001105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p>
        </w:tc>
      </w:tr>
      <w:tr w:rsidTr="001105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p>
        </w:tc>
      </w:tr>
      <w:tr w:rsidTr="001105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BodyText"/>
            </w:pPr>
          </w:p>
        </w:tc>
      </w:tr>
    </w:tbl>
    <w:p w:rsidR="001105DE" w:rsidP="00AF24BF">
      <w:pPr>
        <w:pStyle w:val="BodyText"/>
      </w:pPr>
    </w:p>
    <w:p w:rsidR="001105DE" w:rsidP="00AF24BF">
      <w:pPr>
        <w:pStyle w:val="BodyText"/>
      </w:pPr>
    </w:p>
    <w:p w:rsidR="00000000" w:rsidRPr="00AF24BF" w:rsidP="00AF24BF">
      <w:pPr>
        <w:pStyle w:val="Heading1"/>
      </w:pPr>
      <w:bookmarkStart w:id="6" w:name="O_189627"/>
      <w:bookmarkEnd w:id="6"/>
      <w:r w:rsidRPr="00AF24BF">
        <w:t>Employability Skills Information</w:t>
      </w:r>
    </w:p>
    <w:tbl>
      <w:tblPr>
        <w:tblW w:w="0" w:type="auto"/>
        <w:tblLayout w:type="fixed"/>
        <w:tblCellMar>
          <w:left w:w="62" w:type="dxa"/>
          <w:right w:w="62" w:type="dxa"/>
        </w:tblCellMar>
        <w:tblLook w:val="0000"/>
      </w:tblPr>
      <w:tblGrid>
        <w:gridCol w:w="2802"/>
        <w:gridCol w:w="5720"/>
      </w:tblGrid>
      <w:tr w:rsidTr="001105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BodyText"/>
            </w:pPr>
            <w:r w:rsidRPr="00AF24BF">
              <w:t>This unit contains employability skills.</w:t>
            </w:r>
          </w:p>
        </w:tc>
      </w:tr>
    </w:tbl>
    <w:p w:rsidR="001105DE" w:rsidP="00AF24BF">
      <w:pPr>
        <w:pStyle w:val="BodyText"/>
      </w:pPr>
    </w:p>
    <w:p w:rsidR="001105DE" w:rsidP="00AF24BF">
      <w:pPr>
        <w:pStyle w:val="BodyText"/>
      </w:pPr>
    </w:p>
    <w:p w:rsidR="00000000" w:rsidRPr="00AF24BF" w:rsidP="00AF24BF">
      <w:pPr>
        <w:pStyle w:val="Heading1"/>
      </w:pPr>
      <w:bookmarkStart w:id="7" w:name="O_286115"/>
      <w:bookmarkEnd w:id="7"/>
      <w:r w:rsidRPr="00AF24BF">
        <w:t>Elements and Performance Criteria Pre-Content</w:t>
      </w:r>
    </w:p>
    <w:p w:rsidR="00000000" w:rsidRPr="00AF24BF" w:rsidP="00AF24BF">
      <w:pPr>
        <w:pStyle w:val="BodyText"/>
      </w:pPr>
      <w:r w:rsidRPr="00AF24BF">
        <w:t>Not Applicable</w:t>
      </w:r>
    </w:p>
    <w:p w:rsidR="00000000" w:rsidRPr="00AF24BF" w:rsidP="00AF24BF">
      <w:pPr>
        <w:pStyle w:val="AllowPageBreak"/>
      </w:pPr>
    </w:p>
    <w:p w:rsidR="00000000" w:rsidRPr="00AF24BF" w:rsidP="00AF24BF">
      <w:pPr>
        <w:pStyle w:val="Heading1"/>
      </w:pPr>
      <w:bookmarkStart w:id="8" w:name="O_232782"/>
      <w:bookmarkEnd w:id="8"/>
      <w:r w:rsidRPr="00AF24BF">
        <w:t>Elements and Performance Criteria</w:t>
      </w:r>
    </w:p>
    <w:tbl>
      <w:tblPr>
        <w:tblW w:w="0" w:type="auto"/>
        <w:tblLayout w:type="fixed"/>
        <w:tblCellMar>
          <w:left w:w="62" w:type="dxa"/>
          <w:right w:w="62" w:type="dxa"/>
        </w:tblCellMar>
        <w:tblLook w:val="0000"/>
      </w:tblPr>
      <w:tblGrid>
        <w:gridCol w:w="2544"/>
        <w:gridCol w:w="5978"/>
      </w:tblGrid>
      <w:tr w:rsidTr="001105DE">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BodyText"/>
            </w:pPr>
            <w:r w:rsidRPr="00AF24BF">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PERFORMANCE CRITERIA</w:t>
            </w:r>
          </w:p>
        </w:tc>
      </w:tr>
      <w:tr w:rsidTr="001105D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p>
        </w:tc>
      </w:tr>
      <w:tr w:rsidTr="001105D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List"/>
              <w:rPr>
                <w:lang w:val="en-NZ"/>
              </w:rPr>
            </w:pPr>
            <w:r w:rsidRPr="00AF24BF">
              <w:t>1.</w:t>
            </w:r>
            <w:r w:rsidRPr="00AF24BF">
              <w:tab/>
              <w:t>Prepare materials and equipment for operation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List2"/>
            </w:pPr>
            <w:r w:rsidRPr="00AF24BF">
              <w:t>1.1.</w:t>
            </w:r>
            <w:r w:rsidRPr="00AF24BF">
              <w:tab/>
              <w:t>Materials and services are confirmed as available and ready for operation.</w:t>
            </w:r>
          </w:p>
          <w:p w:rsidR="00000000" w:rsidRPr="00AF24BF" w:rsidP="00AF24BF">
            <w:pPr>
              <w:pStyle w:val="List2"/>
            </w:pPr>
            <w:r w:rsidRPr="00AF24BF">
              <w:t>1.2.</w:t>
            </w:r>
            <w:r w:rsidRPr="00AF24BF">
              <w:tab/>
            </w:r>
            <w:r w:rsidRPr="00AF24BF">
              <w:t>Materials are prepared to meet fertigation requirements.</w:t>
            </w:r>
          </w:p>
          <w:p w:rsidR="00000000" w:rsidRPr="00AF24BF" w:rsidP="00AF24BF">
            <w:pPr>
              <w:pStyle w:val="List2"/>
            </w:pPr>
            <w:r w:rsidRPr="00AF24BF">
              <w:t>1.3.</w:t>
            </w:r>
            <w:r w:rsidRPr="00AF24BF">
              <w:tab/>
              <w:t>Injection or fertigation equipment is connected, as directed, and calibrated according to manufacturer's specifications.</w:t>
            </w:r>
          </w:p>
          <w:p w:rsidR="00000000" w:rsidRPr="00AF24BF" w:rsidP="00AF24BF">
            <w:pPr>
              <w:pStyle w:val="List2"/>
            </w:pPr>
            <w:r w:rsidRPr="00AF24BF">
              <w:t>1.4.</w:t>
            </w:r>
            <w:r w:rsidRPr="00AF24BF">
              <w:tab/>
              <w:t>Fertiliser concentration is calculated and the solution thoroughly m</w:t>
            </w:r>
            <w:r w:rsidRPr="00AF24BF">
              <w:t>ixed according to enterprise, Occupational Health and Safety (OHS) and environmental requirements.</w:t>
            </w:r>
          </w:p>
          <w:p w:rsidR="00000000" w:rsidP="00AF24BF">
            <w:pPr>
              <w:pStyle w:val="List2"/>
              <w:rPr>
                <w:lang w:val="en-NZ"/>
              </w:rPr>
            </w:pPr>
            <w:r w:rsidRPr="00AF24BF">
              <w:t>1.5.</w:t>
            </w:r>
            <w:r w:rsidRPr="00AF24BF">
              <w:tab/>
              <w:t>Equipment is set to meet fertigation requirements.</w:t>
            </w:r>
          </w:p>
        </w:tc>
      </w:tr>
      <w:tr w:rsidTr="001105D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List"/>
              <w:rPr>
                <w:lang w:val="en-NZ"/>
              </w:rPr>
            </w:pPr>
            <w:r w:rsidRPr="00AF24BF">
              <w:t>2.</w:t>
            </w:r>
            <w:r w:rsidRPr="00AF24BF">
              <w:tab/>
              <w:t>Operate the fertigation process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List2"/>
            </w:pPr>
            <w:r w:rsidRPr="00AF24BF">
              <w:t>2.1.</w:t>
            </w:r>
            <w:r w:rsidRPr="00AF24BF">
              <w:tab/>
              <w:t>Start up sequence is implemented according to operations man</w:t>
            </w:r>
            <w:r w:rsidRPr="00AF24BF">
              <w:t>ual and enterprise procedures.</w:t>
            </w:r>
          </w:p>
          <w:p w:rsidR="00000000" w:rsidRPr="00AF24BF" w:rsidP="00AF24BF">
            <w:pPr>
              <w:pStyle w:val="List2"/>
            </w:pPr>
            <w:r w:rsidRPr="00AF24BF">
              <w:t>2.2.</w:t>
            </w:r>
            <w:r w:rsidRPr="00AF24BF">
              <w:tab/>
              <w:t>Fertigation process is operated and monitored to ensure delivery is maintained according to enterprise specifications and procedures.</w:t>
            </w:r>
          </w:p>
          <w:p w:rsidR="00000000" w:rsidRPr="00AF24BF" w:rsidP="00AF24BF">
            <w:pPr>
              <w:pStyle w:val="List2"/>
            </w:pPr>
            <w:r w:rsidRPr="00AF24BF">
              <w:t>2.3.</w:t>
            </w:r>
            <w:r w:rsidRPr="00AF24BF">
              <w:tab/>
              <w:t>Fertigation equipment is monitored to ensure no adverse environmental impact is c</w:t>
            </w:r>
            <w:r w:rsidRPr="00AF24BF">
              <w:t>aused by faulty operation.</w:t>
            </w:r>
          </w:p>
          <w:p w:rsidR="00000000" w:rsidP="00AF24BF">
            <w:pPr>
              <w:pStyle w:val="List2"/>
              <w:rPr>
                <w:lang w:val="en-NZ"/>
              </w:rPr>
            </w:pPr>
            <w:r w:rsidRPr="00AF24BF">
              <w:t>2.4.</w:t>
            </w:r>
            <w:r w:rsidRPr="00AF24BF">
              <w:tab/>
              <w:t>Corrections to the process and equipment adjustments are implemented as necessary.</w:t>
            </w:r>
          </w:p>
        </w:tc>
      </w:tr>
      <w:tr w:rsidTr="001105D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List"/>
              <w:rPr>
                <w:lang w:val="en-NZ"/>
              </w:rPr>
            </w:pPr>
            <w:r w:rsidRPr="00AF24BF">
              <w:t>3.</w:t>
            </w:r>
            <w:r w:rsidRPr="00AF24BF">
              <w:tab/>
              <w:t>Shut down fertigation equipment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List2"/>
            </w:pPr>
            <w:r w:rsidRPr="00AF24BF">
              <w:t>3.1.</w:t>
            </w:r>
            <w:r w:rsidRPr="00AF24BF">
              <w:tab/>
              <w:t>Injection equipment is flushed out according to enterprise standards prior to shut down.</w:t>
            </w:r>
          </w:p>
          <w:p w:rsidR="00000000" w:rsidRPr="00AF24BF" w:rsidP="00AF24BF">
            <w:pPr>
              <w:pStyle w:val="List2"/>
            </w:pPr>
            <w:r w:rsidRPr="00AF24BF">
              <w:t>3.2.</w:t>
            </w:r>
            <w:r w:rsidRPr="00AF24BF">
              <w:tab/>
              <w:t>Equipm</w:t>
            </w:r>
            <w:r w:rsidRPr="00AF24BF">
              <w:t>ent is cleaned according to enterprise procedures.</w:t>
            </w:r>
          </w:p>
          <w:p w:rsidR="00000000" w:rsidRPr="00AF24BF" w:rsidP="00AF24BF">
            <w:pPr>
              <w:pStyle w:val="List2"/>
            </w:pPr>
            <w:r w:rsidRPr="00AF24BF">
              <w:t>3.3.</w:t>
            </w:r>
            <w:r w:rsidRPr="00AF24BF">
              <w:tab/>
              <w:t>Waste generated by both the fertigation process and cleaning procedures is managed according to environmental protection requirements and enterprise OHS procedures.</w:t>
            </w:r>
          </w:p>
          <w:p w:rsidR="00000000" w:rsidRPr="00AF24BF" w:rsidP="00AF24BF">
            <w:pPr>
              <w:pStyle w:val="List2"/>
            </w:pPr>
            <w:r w:rsidRPr="00AF24BF">
              <w:t>3.4.</w:t>
            </w:r>
            <w:r w:rsidRPr="00AF24BF">
              <w:tab/>
              <w:t>Fert</w:t>
            </w:r>
            <w:r w:rsidRPr="00AF24BF">
              <w:t>igation activities are reported and recorded according to regulatory requirements and enterprise procedures.</w:t>
            </w:r>
          </w:p>
        </w:tc>
      </w:tr>
    </w:tbl>
    <w:p w:rsidR="001105DE" w:rsidP="00AF24BF">
      <w:pPr>
        <w:pStyle w:val="BodyText"/>
      </w:pPr>
    </w:p>
    <w:p w:rsidR="001105DE" w:rsidP="00AF24BF">
      <w:pPr>
        <w:pStyle w:val="BodyText"/>
      </w:pPr>
    </w:p>
    <w:p w:rsidR="00000000" w:rsidRPr="00AF24BF" w:rsidP="00AF24BF">
      <w:pPr>
        <w:pStyle w:val="Heading1"/>
      </w:pPr>
      <w:bookmarkStart w:id="9" w:name="O_256732"/>
      <w:bookmarkEnd w:id="9"/>
      <w:r w:rsidRPr="00AF24BF">
        <w:t>Required Skills and Knowledge</w:t>
      </w:r>
    </w:p>
    <w:tbl>
      <w:tblPr>
        <w:tblW w:w="0" w:type="auto"/>
        <w:tblLayout w:type="fixed"/>
        <w:tblCellMar>
          <w:left w:w="62" w:type="dxa"/>
          <w:right w:w="62" w:type="dxa"/>
        </w:tblCellMar>
        <w:tblLook w:val="0000"/>
      </w:tblPr>
      <w:tblGrid>
        <w:gridCol w:w="8522"/>
      </w:tblGrid>
      <w:tr w:rsidTr="001105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REQUIRED SKILLS AND KNOWLEDGE</w:t>
            </w:r>
          </w:p>
        </w:tc>
      </w:tr>
      <w:tr w:rsidTr="001105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t>This section describes the skills and knowledge required for this unit.</w:t>
            </w:r>
          </w:p>
        </w:tc>
      </w:tr>
      <w:tr w:rsidTr="001105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Required skills</w:t>
            </w:r>
          </w:p>
        </w:tc>
      </w:tr>
      <w:tr w:rsidTr="001105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ListBullet"/>
            </w:pPr>
            <w:r w:rsidRPr="00AF24BF">
              <w:t>identify hazards and implement safe work procedures</w:t>
            </w:r>
          </w:p>
          <w:p w:rsidR="00000000" w:rsidRPr="00AF24BF" w:rsidP="00AF24BF">
            <w:pPr>
              <w:pStyle w:val="ListBullet"/>
            </w:pPr>
            <w:r w:rsidRPr="00AF24BF">
              <w:t>calculate and prepare fertigation materials</w:t>
            </w:r>
          </w:p>
          <w:p w:rsidR="00000000" w:rsidRPr="00AF24BF" w:rsidP="00AF24BF">
            <w:pPr>
              <w:pStyle w:val="ListBullet"/>
            </w:pPr>
            <w:r w:rsidRPr="00AF24BF">
              <w:t>connect, calibrate and operate the equipment, and monitor and adjust the delivery of fertilisers</w:t>
            </w:r>
          </w:p>
          <w:p w:rsidR="00000000" w:rsidRPr="00AF24BF" w:rsidP="00AF24BF">
            <w:pPr>
              <w:pStyle w:val="ListBullet"/>
            </w:pPr>
            <w:r w:rsidRPr="00AF24BF">
              <w:t>shut down, clean equipment and dispose of waste</w:t>
            </w:r>
          </w:p>
          <w:p w:rsidR="00000000" w:rsidRPr="00AF24BF" w:rsidP="00AF24BF">
            <w:pPr>
              <w:pStyle w:val="ListBullet"/>
            </w:pPr>
            <w:r w:rsidRPr="00AF24BF">
              <w:t>use personal protective equipment</w:t>
            </w:r>
          </w:p>
          <w:p w:rsidR="00000000" w:rsidRPr="00AF24BF" w:rsidP="00AF24BF">
            <w:pPr>
              <w:pStyle w:val="ListBullet"/>
            </w:pPr>
            <w:r w:rsidRPr="00AF24BF">
              <w:t>identify adverse environmental impacts of fertigation activities and appropri</w:t>
            </w:r>
            <w:r w:rsidRPr="00AF24BF">
              <w:t>ate remedial action</w:t>
            </w:r>
          </w:p>
          <w:p w:rsidR="00000000" w:rsidRPr="00AF24BF" w:rsidP="00AF24BF">
            <w:pPr>
              <w:pStyle w:val="ListBullet"/>
            </w:pPr>
            <w:r w:rsidRPr="00AF24BF">
              <w:t>implement enterprise, OHS and environmental policies and procedures</w:t>
            </w:r>
          </w:p>
          <w:p w:rsidR="00000000" w:rsidRPr="00AF24BF" w:rsidP="00AF24BF">
            <w:pPr>
              <w:pStyle w:val="ListBullet"/>
            </w:pPr>
            <w:r w:rsidRPr="00AF24BF">
              <w:t>use literacy skills to read, interpret and follow organisational policies and procedures, follow sequenced written instructions, record accurately and legible informati</w:t>
            </w:r>
            <w:r w:rsidRPr="00AF24BF">
              <w:t>on collected and select and apply procedures for a range of tasks</w:t>
            </w:r>
          </w:p>
          <w:p w:rsidR="00000000" w:rsidRPr="00AF24BF" w:rsidP="00AF24BF">
            <w:pPr>
              <w:pStyle w:val="ListBullet"/>
            </w:pPr>
            <w:r w:rsidRPr="00AF24BF">
              <w:t>use oral communication skills/language competence to fulfil the job role as specified by the organisation, including questioning techniques, active listening, clarifying information and cons</w:t>
            </w:r>
            <w:r w:rsidRPr="00AF24BF">
              <w:t>ulting with supervisors as required</w:t>
            </w:r>
          </w:p>
          <w:p w:rsidR="00000000" w:rsidP="00AF24BF">
            <w:pPr>
              <w:pStyle w:val="ListBullet"/>
              <w:rPr>
                <w:lang w:val="en-NZ"/>
              </w:rPr>
            </w:pPr>
            <w:r w:rsidRPr="00AF24BF">
              <w:t>use interpersonal skills to work with and relate to people from a range of cultural, social and religious backgrounds and with a range of physical and mental abilities.</w:t>
            </w:r>
          </w:p>
        </w:tc>
      </w:tr>
      <w:tr w:rsidTr="001105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Required knowledge</w:t>
            </w:r>
          </w:p>
        </w:tc>
      </w:tr>
      <w:tr w:rsidTr="001105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ListBullet"/>
            </w:pPr>
            <w:r w:rsidRPr="00AF24BF">
              <w:t>fertigation injection equipme</w:t>
            </w:r>
            <w:r w:rsidRPr="00AF24BF">
              <w:t>nt</w:t>
            </w:r>
          </w:p>
          <w:p w:rsidR="00000000" w:rsidRPr="00AF24BF" w:rsidP="00AF24BF">
            <w:pPr>
              <w:pStyle w:val="ListBullet"/>
            </w:pPr>
            <w:r w:rsidRPr="00AF24BF">
              <w:t>chemical handling procedures for fertiliser, chlorine, acid and cleaning agents</w:t>
            </w:r>
          </w:p>
          <w:p w:rsidR="00000000" w:rsidRPr="00AF24BF" w:rsidP="00AF24BF">
            <w:pPr>
              <w:pStyle w:val="ListBullet"/>
            </w:pPr>
            <w:r w:rsidRPr="00AF24BF">
              <w:t>cleaning procedures for fertigation equipment</w:t>
            </w:r>
          </w:p>
          <w:p w:rsidR="00000000" w:rsidRPr="00AF24BF" w:rsidP="00AF24BF">
            <w:pPr>
              <w:pStyle w:val="ListBullet"/>
            </w:pPr>
            <w:r w:rsidRPr="00AF24BF">
              <w:t>Material Safety Data Sheets (MSDSs)</w:t>
            </w:r>
          </w:p>
          <w:p w:rsidR="00000000" w:rsidRPr="00AF24BF" w:rsidP="00AF24BF">
            <w:pPr>
              <w:pStyle w:val="ListBullet"/>
            </w:pPr>
            <w:r w:rsidRPr="00AF24BF">
              <w:t>environmental impacts of delivering fertilisers via the irrigation system</w:t>
            </w:r>
          </w:p>
          <w:p w:rsidR="00000000" w:rsidRPr="00AF24BF" w:rsidP="00AF24BF">
            <w:pPr>
              <w:pStyle w:val="ListBullet"/>
            </w:pPr>
            <w:r w:rsidRPr="00AF24BF">
              <w:t>OHS issues</w:t>
            </w:r>
          </w:p>
          <w:p w:rsidR="00000000" w:rsidRPr="00AF24BF" w:rsidP="00AF24BF">
            <w:pPr>
              <w:pStyle w:val="ListBullet"/>
            </w:pPr>
            <w:r w:rsidRPr="00AF24BF">
              <w:t>enterprise policies and procedures.</w:t>
            </w:r>
          </w:p>
        </w:tc>
      </w:tr>
    </w:tbl>
    <w:p w:rsidR="001105DE" w:rsidP="00AF24BF">
      <w:pPr>
        <w:pStyle w:val="BodyText"/>
      </w:pPr>
    </w:p>
    <w:p w:rsidR="001105DE" w:rsidP="00AF24BF">
      <w:pPr>
        <w:pStyle w:val="BodyText"/>
      </w:pPr>
    </w:p>
    <w:p w:rsidR="00000000" w:rsidRPr="00AF24BF" w:rsidP="00AF24BF">
      <w:pPr>
        <w:pStyle w:val="AllowPageBreak"/>
      </w:pPr>
    </w:p>
    <w:p w:rsidR="00000000" w:rsidRPr="00AF24BF" w:rsidP="00AF24BF">
      <w:pPr>
        <w:pStyle w:val="Heading1"/>
      </w:pPr>
      <w:bookmarkStart w:id="10" w:name="O_240766"/>
      <w:bookmarkEnd w:id="10"/>
      <w:r w:rsidRPr="00AF24BF">
        <w:t>Evidence Guide</w:t>
      </w:r>
    </w:p>
    <w:tbl>
      <w:tblPr>
        <w:tblW w:w="9570" w:type="dxa"/>
        <w:tblLayout w:type="fixed"/>
        <w:tblCellMar>
          <w:left w:w="62" w:type="dxa"/>
          <w:right w:w="62" w:type="dxa"/>
        </w:tblCellMar>
        <w:tblLook w:val="0000"/>
      </w:tblPr>
      <w:tblGrid>
        <w:gridCol w:w="3908"/>
        <w:gridCol w:w="5662"/>
      </w:tblGrid>
      <w:tr w:rsidTr="001105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EVIDENCE GUIDE</w:t>
            </w:r>
          </w:p>
        </w:tc>
      </w:tr>
      <w:tr w:rsidTr="001105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t xml:space="preserve">The evidence guide provides advice on assessment and must be read in conjunction with the performance criteria, required skills and knowledge, </w:t>
            </w:r>
            <w:r w:rsidRPr="00AF24BF">
              <w:t>range statement and the Assessment Guidelines for the Training Package.</w:t>
            </w:r>
          </w:p>
        </w:tc>
      </w:tr>
      <w:tr w:rsidTr="00110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p>
        </w:tc>
      </w:tr>
      <w:tr w:rsidTr="00110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BodyText"/>
            </w:pPr>
            <w:r w:rsidRPr="00AF24B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AF24BF" w:rsidP="00AF24BF">
            <w:pPr>
              <w:pStyle w:val="ListBullet"/>
            </w:pPr>
            <w:r w:rsidRPr="00AF24BF">
              <w:t>calculate and prepare fertigation materials</w:t>
            </w:r>
          </w:p>
          <w:p w:rsidR="00000000" w:rsidRPr="00AF24BF" w:rsidP="00AF24BF">
            <w:pPr>
              <w:pStyle w:val="ListBullet"/>
            </w:pPr>
            <w:r w:rsidRPr="00AF24BF">
              <w:t>connect and calibrate equipment</w:t>
            </w:r>
          </w:p>
          <w:p w:rsidR="00000000" w:rsidRPr="00AF24BF" w:rsidP="00AF24BF">
            <w:pPr>
              <w:pStyle w:val="ListBullet"/>
            </w:pPr>
            <w:r w:rsidRPr="00AF24BF">
              <w:t>operate, monitor and adjust delivery</w:t>
            </w:r>
          </w:p>
          <w:p w:rsidR="00000000" w:rsidRPr="00AF24BF" w:rsidP="00AF24BF">
            <w:pPr>
              <w:pStyle w:val="ListBullet"/>
            </w:pPr>
            <w:r w:rsidRPr="00AF24BF">
              <w:t>shut down and clean equipment</w:t>
            </w:r>
          </w:p>
          <w:p w:rsidR="00000000" w:rsidP="00AF24BF">
            <w:pPr>
              <w:pStyle w:val="ListBullet"/>
              <w:rPr>
                <w:lang w:val="en-NZ"/>
              </w:rPr>
            </w:pPr>
            <w:r w:rsidRPr="00AF24BF">
              <w:t>dispose of waste in an environmentally responsible way.</w:t>
            </w:r>
          </w:p>
        </w:tc>
      </w:tr>
      <w:tr w:rsidTr="00110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BodyText"/>
            </w:pPr>
            <w:r w:rsidRPr="00AF24BF">
              <w:t>Competency requires the application of work practices under work conditions.  Selection and use of resources for some worksites may differ due to the regional or enterprise circumstances.</w:t>
            </w:r>
          </w:p>
        </w:tc>
      </w:tr>
    </w:tbl>
    <w:p w:rsidR="001105DE" w:rsidP="00AF24BF">
      <w:pPr>
        <w:pStyle w:val="BodyText"/>
      </w:pPr>
    </w:p>
    <w:p w:rsidR="001105DE" w:rsidP="00AF24BF">
      <w:pPr>
        <w:pStyle w:val="BodyText"/>
      </w:pPr>
    </w:p>
    <w:p w:rsidR="00000000" w:rsidRPr="00AF24BF" w:rsidP="00AF24BF">
      <w:pPr>
        <w:pStyle w:val="Heading1"/>
      </w:pPr>
      <w:bookmarkStart w:id="11" w:name="O_248749"/>
      <w:bookmarkEnd w:id="11"/>
      <w:r w:rsidRPr="00AF24BF">
        <w:t>Range Statement</w:t>
      </w:r>
    </w:p>
    <w:tbl>
      <w:tblPr>
        <w:tblW w:w="0" w:type="auto"/>
        <w:tblLayout w:type="fixed"/>
        <w:tblCellMar>
          <w:left w:w="62" w:type="dxa"/>
          <w:right w:w="62" w:type="dxa"/>
        </w:tblCellMar>
        <w:tblLook w:val="0000"/>
      </w:tblPr>
      <w:tblGrid>
        <w:gridCol w:w="3456"/>
        <w:gridCol w:w="5066"/>
      </w:tblGrid>
      <w:tr w:rsidTr="001105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RANGE STATEMENT</w:t>
            </w:r>
          </w:p>
        </w:tc>
      </w:tr>
      <w:tr w:rsidTr="001105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t>The range statement relates to the unit of competency as a whole.</w:t>
            </w:r>
          </w:p>
        </w:tc>
      </w:tr>
      <w:tr w:rsidTr="001105DE">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t>Fertigation equipment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ListBullet"/>
            </w:pPr>
            <w:r w:rsidRPr="00AF24BF">
              <w:t>injection and fertigation equipment such as:</w:t>
            </w:r>
          </w:p>
          <w:p w:rsidR="00000000" w:rsidRPr="00AF24BF" w:rsidP="00AF24BF">
            <w:pPr>
              <w:pStyle w:val="ListBullet2"/>
            </w:pPr>
            <w:r w:rsidRPr="00AF24BF">
              <w:t>injection pumps</w:t>
            </w:r>
          </w:p>
          <w:p w:rsidR="00000000" w:rsidRPr="00AF24BF" w:rsidP="00AF24BF">
            <w:pPr>
              <w:pStyle w:val="ListBullet2"/>
            </w:pPr>
            <w:r w:rsidRPr="00AF24BF">
              <w:t>injection points</w:t>
            </w:r>
          </w:p>
          <w:p w:rsidR="00000000" w:rsidRPr="00AF24BF" w:rsidP="00AF24BF">
            <w:pPr>
              <w:pStyle w:val="ListBullet2"/>
            </w:pPr>
            <w:r w:rsidRPr="00AF24BF">
              <w:t>chemical holding tanks.</w:t>
            </w:r>
          </w:p>
        </w:tc>
      </w:tr>
    </w:tbl>
    <w:p w:rsidR="001105DE" w:rsidP="00AF24BF">
      <w:pPr>
        <w:pStyle w:val="BodyText"/>
      </w:pPr>
    </w:p>
    <w:p w:rsidR="001105DE" w:rsidP="00AF24BF">
      <w:pPr>
        <w:pStyle w:val="BodyText"/>
      </w:pPr>
    </w:p>
    <w:p w:rsidR="00000000" w:rsidRPr="00AF24BF" w:rsidP="00AF24BF">
      <w:pPr>
        <w:pStyle w:val="Heading1"/>
      </w:pPr>
      <w:bookmarkStart w:id="12" w:name="O_189632"/>
      <w:bookmarkEnd w:id="12"/>
      <w:r w:rsidRPr="00AF24BF">
        <w:t>Unit Sector(s)</w:t>
      </w:r>
    </w:p>
    <w:tbl>
      <w:tblPr>
        <w:tblW w:w="0" w:type="auto"/>
        <w:tblLayout w:type="fixed"/>
        <w:tblCellMar>
          <w:left w:w="62" w:type="dxa"/>
          <w:right w:w="62" w:type="dxa"/>
        </w:tblCellMar>
        <w:tblLook w:val="0000"/>
      </w:tblPr>
      <w:tblGrid>
        <w:gridCol w:w="2618"/>
        <w:gridCol w:w="5904"/>
      </w:tblGrid>
      <w:tr w:rsidTr="001105D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BodyText"/>
            </w:pPr>
            <w:r w:rsidRPr="00AF24BF">
              <w:t>Nursery</w:t>
            </w:r>
          </w:p>
        </w:tc>
      </w:tr>
    </w:tbl>
    <w:p w:rsidR="001105DE" w:rsidP="00AF24BF">
      <w:pPr>
        <w:pStyle w:val="BodyText"/>
      </w:pPr>
    </w:p>
    <w:p w:rsidR="001105DE" w:rsidP="00AF24BF">
      <w:pPr>
        <w:pStyle w:val="BodyText"/>
      </w:pPr>
    </w:p>
    <w:p w:rsidR="00000000" w:rsidRPr="00AF24BF" w:rsidP="00AF24BF">
      <w:pPr>
        <w:pStyle w:val="Heading1"/>
      </w:pPr>
      <w:bookmarkStart w:id="13" w:name="O_189629"/>
      <w:bookmarkEnd w:id="13"/>
      <w:r w:rsidRPr="00AF24BF">
        <w:t>Co-requisite units</w:t>
      </w:r>
    </w:p>
    <w:tbl>
      <w:tblPr>
        <w:tblW w:w="0" w:type="auto"/>
        <w:tblLayout w:type="fixed"/>
        <w:tblCellMar>
          <w:left w:w="62" w:type="dxa"/>
          <w:right w:w="62" w:type="dxa"/>
        </w:tblCellMar>
        <w:tblLook w:val="0000"/>
      </w:tblPr>
      <w:tblGrid>
        <w:gridCol w:w="2641"/>
        <w:gridCol w:w="1322"/>
        <w:gridCol w:w="4559"/>
      </w:tblGrid>
      <w:tr w:rsidTr="001105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p>
        </w:tc>
      </w:tr>
      <w:tr w:rsidTr="001105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p>
        </w:tc>
      </w:tr>
      <w:tr w:rsidTr="001105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BodyText"/>
            </w:pPr>
          </w:p>
        </w:tc>
      </w:tr>
    </w:tbl>
    <w:p w:rsidR="001105DE" w:rsidP="00AF24BF">
      <w:pPr>
        <w:pStyle w:val="BodyText"/>
      </w:pPr>
    </w:p>
    <w:p w:rsidR="001105DE" w:rsidP="00AF24BF">
      <w:pPr>
        <w:pStyle w:val="BodyText"/>
      </w:pPr>
    </w:p>
    <w:p w:rsidR="00000000" w:rsidRPr="00AF24BF" w:rsidP="00AF24BF">
      <w:pPr>
        <w:pStyle w:val="Heading1"/>
      </w:pPr>
      <w:bookmarkStart w:id="14" w:name="O_189631"/>
      <w:bookmarkEnd w:id="14"/>
      <w:r w:rsidRPr="00AF24BF">
        <w:t>Competency field</w:t>
      </w:r>
    </w:p>
    <w:tbl>
      <w:tblPr>
        <w:tblW w:w="0" w:type="auto"/>
        <w:tblLayout w:type="fixed"/>
        <w:tblCellMar>
          <w:left w:w="62" w:type="dxa"/>
          <w:right w:w="62" w:type="dxa"/>
        </w:tblCellMar>
        <w:tblLook w:val="0000"/>
      </w:tblPr>
      <w:tblGrid>
        <w:gridCol w:w="2784"/>
        <w:gridCol w:w="5738"/>
      </w:tblGrid>
      <w:tr w:rsidTr="001105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4BF">
            <w:pPr>
              <w:pStyle w:val="BodyText"/>
              <w:rPr>
                <w:lang w:val="en-NZ"/>
              </w:rPr>
            </w:pPr>
            <w:r w:rsidRPr="00AF24B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4BF" w:rsidP="00AF24BF">
            <w:pPr>
              <w:pStyle w:val="BodyText"/>
            </w:pPr>
          </w:p>
        </w:tc>
      </w:tr>
    </w:tbl>
    <w:p w:rsidR="001105DE" w:rsidP="00AF24BF">
      <w:pPr>
        <w:pStyle w:val="BodyText"/>
      </w:pPr>
    </w:p>
    <w:p w:rsidR="001105DE" w:rsidP="00AF24BF">
      <w:pPr>
        <w:pStyle w:val="BodyText"/>
      </w:pPr>
    </w:p>
    <w:p w:rsidR="00000000" w:rsidRPr="00AF24BF" w:rsidP="00AF24BF"/>
    <w:sectPr w:rsidSect="00AF24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5DE" w:rsidP="00110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5DE" w:rsidP="00AF2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05DE" w:rsidP="00AF24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105DE" w:rsidP="00AF24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5DE" w:rsidP="001105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5DE" w:rsidP="00AF24BF">
    <w:pPr>
      <w:pStyle w:val="Header"/>
      <w:framePr w:wrap="around"/>
    </w:pPr>
    <w:r>
      <w:fldChar w:fldCharType="begin"/>
    </w:r>
    <w:r>
      <w:instrText xml:space="preserve"> TITLE   \* MERGEFORMAT </w:instrText>
    </w:r>
    <w:r>
      <w:fldChar w:fldCharType="separate"/>
    </w:r>
    <w:r>
      <w:t>AHCNSY307A Operate fertigation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05DE" w:rsidP="00AF24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065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41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848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24BF"/>
    <w:pPr>
      <w:spacing w:before="360" w:after="60"/>
      <w:outlineLvl w:val="0"/>
    </w:pPr>
    <w:rPr>
      <w:sz w:val="32"/>
    </w:rPr>
  </w:style>
  <w:style w:type="paragraph" w:styleId="Heading2">
    <w:name w:val="heading 2"/>
    <w:basedOn w:val="HeadingBase"/>
    <w:next w:val="BodyText"/>
    <w:link w:val="Heading2Char"/>
    <w:qFormat/>
    <w:rsid w:val="00AF24BF"/>
    <w:pPr>
      <w:keepLines/>
      <w:spacing w:before="240" w:after="120"/>
      <w:outlineLvl w:val="1"/>
    </w:pPr>
    <w:rPr>
      <w:sz w:val="28"/>
      <w:szCs w:val="40"/>
    </w:rPr>
  </w:style>
  <w:style w:type="paragraph" w:styleId="Heading3">
    <w:name w:val="heading 3"/>
    <w:basedOn w:val="HeadingBase"/>
    <w:next w:val="BodyText"/>
    <w:link w:val="Heading3Char"/>
    <w:qFormat/>
    <w:rsid w:val="00AF24BF"/>
    <w:pPr>
      <w:spacing w:before="180" w:after="120"/>
      <w:outlineLvl w:val="2"/>
    </w:pPr>
    <w:rPr>
      <w:spacing w:val="-10"/>
      <w:kern w:val="32"/>
    </w:rPr>
  </w:style>
  <w:style w:type="paragraph" w:styleId="Heading4">
    <w:name w:val="heading 4"/>
    <w:basedOn w:val="HeadingBase"/>
    <w:next w:val="BodyText"/>
    <w:link w:val="Heading4Char"/>
    <w:qFormat/>
    <w:rsid w:val="00AF24BF"/>
    <w:pPr>
      <w:spacing w:before="160" w:after="120"/>
      <w:outlineLvl w:val="3"/>
    </w:pPr>
    <w:rPr>
      <w:sz w:val="22"/>
    </w:rPr>
  </w:style>
  <w:style w:type="paragraph" w:styleId="Heading5">
    <w:name w:val="heading 5"/>
    <w:basedOn w:val="HeadingBase"/>
    <w:next w:val="Normal"/>
    <w:link w:val="Heading5Char"/>
    <w:qFormat/>
    <w:rsid w:val="00AF24BF"/>
    <w:pPr>
      <w:spacing w:before="80"/>
      <w:outlineLvl w:val="4"/>
    </w:pPr>
    <w:rPr>
      <w:color w:val="918585"/>
      <w:sz w:val="20"/>
    </w:rPr>
  </w:style>
  <w:style w:type="paragraph" w:styleId="Heading6">
    <w:name w:val="heading 6"/>
    <w:basedOn w:val="HeadingBase"/>
    <w:next w:val="Normal"/>
    <w:link w:val="Heading6Char"/>
    <w:qFormat/>
    <w:rsid w:val="00AF24BF"/>
    <w:pPr>
      <w:spacing w:before="60"/>
      <w:outlineLvl w:val="5"/>
    </w:pPr>
    <w:rPr>
      <w:color w:val="918585"/>
      <w:sz w:val="20"/>
    </w:rPr>
  </w:style>
  <w:style w:type="paragraph" w:styleId="Heading7">
    <w:name w:val="heading 7"/>
    <w:basedOn w:val="Normal"/>
    <w:next w:val="Normal"/>
    <w:link w:val="Heading7Char"/>
    <w:qFormat/>
    <w:rsid w:val="00AF24BF"/>
    <w:pPr>
      <w:ind w:left="720"/>
      <w:outlineLvl w:val="6"/>
    </w:pPr>
    <w:rPr>
      <w:i/>
    </w:rPr>
  </w:style>
  <w:style w:type="paragraph" w:styleId="Heading8">
    <w:name w:val="heading 8"/>
    <w:basedOn w:val="Normal"/>
    <w:next w:val="Normal"/>
    <w:link w:val="Heading8Char"/>
    <w:qFormat/>
    <w:rsid w:val="00AF24BF"/>
    <w:pPr>
      <w:ind w:left="720"/>
      <w:outlineLvl w:val="7"/>
    </w:pPr>
    <w:rPr>
      <w:i/>
    </w:rPr>
  </w:style>
  <w:style w:type="paragraph" w:styleId="Heading9">
    <w:name w:val="heading 9"/>
    <w:basedOn w:val="Normal"/>
    <w:next w:val="Normal"/>
    <w:link w:val="Heading9Char"/>
    <w:qFormat/>
    <w:rsid w:val="00AF24BF"/>
    <w:pPr>
      <w:ind w:left="720"/>
      <w:outlineLvl w:val="8"/>
    </w:pPr>
    <w:rPr>
      <w:i/>
    </w:rPr>
  </w:style>
  <w:style w:type="character" w:default="1" w:styleId="DefaultParagraphFont">
    <w:name w:val="Default Paragraph Font"/>
    <w:uiPriority w:val="1"/>
    <w:unhideWhenUsed/>
    <w:rsid w:val="00AF2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4BF"/>
  </w:style>
  <w:style w:type="character" w:customStyle="1" w:styleId="Heading1Char">
    <w:name w:val="Heading 1 Char"/>
    <w:basedOn w:val="DefaultParagraphFont"/>
    <w:link w:val="Heading1"/>
    <w:rsid w:val="00AF24BF"/>
    <w:rPr>
      <w:rFonts w:ascii="Times New Roman" w:eastAsia="Times New Roman" w:hAnsi="Times New Roman" w:cs="Times New Roman"/>
      <w:b/>
      <w:sz w:val="32"/>
      <w:szCs w:val="20"/>
      <w:lang w:eastAsia="en-US"/>
    </w:rPr>
  </w:style>
  <w:style w:type="paragraph" w:styleId="BodyText">
    <w:name w:val="Body Text"/>
    <w:basedOn w:val="Normal"/>
    <w:link w:val="BodyTextChar"/>
    <w:rsid w:val="00AF24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4BF"/>
    <w:rPr>
      <w:rFonts w:ascii="Times New Roman" w:eastAsia="Times New Roman" w:hAnsi="Times New Roman" w:cs="Times New Roman"/>
      <w:sz w:val="24"/>
      <w:lang w:val="en-US" w:eastAsia="en-US"/>
    </w:rPr>
  </w:style>
  <w:style w:type="paragraph" w:styleId="Footer">
    <w:name w:val="footer"/>
    <w:basedOn w:val="Normal"/>
    <w:link w:val="FooterChar"/>
    <w:rsid w:val="00AF2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4BF"/>
    <w:rPr>
      <w:rFonts w:ascii="Times New Roman" w:eastAsia="Times New Roman" w:hAnsi="Times New Roman" w:cs="Times New Roman"/>
      <w:sz w:val="16"/>
      <w:lang w:val="en-US" w:eastAsia="en-US"/>
    </w:rPr>
  </w:style>
  <w:style w:type="paragraph" w:styleId="List">
    <w:name w:val="List"/>
    <w:basedOn w:val="BodyText"/>
    <w:next w:val="BodyText"/>
    <w:rsid w:val="00AF24BF"/>
    <w:pPr>
      <w:tabs>
        <w:tab w:val="left" w:pos="340"/>
      </w:tabs>
      <w:spacing w:before="60" w:after="60"/>
      <w:ind w:left="340" w:hanging="340"/>
    </w:pPr>
  </w:style>
  <w:style w:type="paragraph" w:styleId="ListBullet">
    <w:name w:val="List Bullet"/>
    <w:basedOn w:val="List"/>
    <w:rsid w:val="00AF24BF"/>
    <w:pPr>
      <w:numPr>
        <w:numId w:val="13"/>
      </w:numPr>
      <w:tabs>
        <w:tab w:val="clear" w:pos="340"/>
      </w:tabs>
      <w:spacing w:before="40" w:after="40"/>
    </w:pPr>
  </w:style>
  <w:style w:type="character" w:customStyle="1" w:styleId="SpecialBold">
    <w:name w:val="Special Bold"/>
    <w:basedOn w:val="DefaultParagraphFont"/>
    <w:rsid w:val="00AF24BF"/>
    <w:rPr>
      <w:b/>
      <w:spacing w:val="0"/>
    </w:rPr>
  </w:style>
  <w:style w:type="paragraph" w:styleId="ListBullet2">
    <w:name w:val="List Bullet 2"/>
    <w:basedOn w:val="List2"/>
    <w:rsid w:val="00AF24BF"/>
    <w:pPr>
      <w:numPr>
        <w:numId w:val="14"/>
      </w:numPr>
      <w:tabs>
        <w:tab w:val="clear" w:pos="680"/>
      </w:tabs>
    </w:pPr>
  </w:style>
  <w:style w:type="paragraph" w:styleId="Header">
    <w:name w:val="header"/>
    <w:basedOn w:val="Normal"/>
    <w:link w:val="HeaderChar"/>
    <w:rsid w:val="00AF2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4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24BF"/>
    <w:pPr>
      <w:spacing w:before="240" w:after="120"/>
      <w:outlineLvl w:val="0"/>
    </w:pPr>
    <w:rPr>
      <w:rFonts w:ascii="Times New Roman" w:hAnsi="Times New Roman"/>
      <w:b/>
      <w:sz w:val="28"/>
    </w:rPr>
  </w:style>
  <w:style w:type="paragraph" w:customStyle="1" w:styleId="AllowPageBreak">
    <w:name w:val="AllowPageBreak"/>
    <w:rsid w:val="00AF24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24BF"/>
    <w:pPr>
      <w:tabs>
        <w:tab w:val="left" w:pos="680"/>
      </w:tabs>
      <w:spacing w:before="60" w:after="60"/>
      <w:ind w:left="680" w:hanging="340"/>
    </w:pPr>
  </w:style>
  <w:style w:type="character" w:customStyle="1" w:styleId="Heading2Char">
    <w:name w:val="Heading 2 Char"/>
    <w:basedOn w:val="DefaultParagraphFont"/>
    <w:link w:val="Heading2"/>
    <w:rsid w:val="00AF2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4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24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24BF"/>
    <w:rPr>
      <w:rFonts w:ascii="Courier New" w:eastAsia="Times New Roman" w:hAnsi="Courier New" w:cs="Times New Roman"/>
      <w:i/>
      <w:szCs w:val="20"/>
      <w:lang w:val="en-US" w:eastAsia="en-US"/>
    </w:rPr>
  </w:style>
  <w:style w:type="paragraph" w:customStyle="1" w:styleId="HeadingBase">
    <w:name w:val="Heading Base"/>
    <w:rsid w:val="00AF2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4BF"/>
    <w:pPr>
      <w:tabs>
        <w:tab w:val="right" w:leader="dot" w:pos="9072"/>
      </w:tabs>
      <w:ind w:left="567"/>
    </w:pPr>
    <w:rPr>
      <w:szCs w:val="22"/>
    </w:rPr>
  </w:style>
  <w:style w:type="paragraph" w:customStyle="1" w:styleId="TOCBase">
    <w:name w:val="TOC Base"/>
    <w:rsid w:val="00AF2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4BF"/>
    <w:pPr>
      <w:tabs>
        <w:tab w:val="right" w:leader="dot" w:pos="9072"/>
      </w:tabs>
      <w:spacing w:before="40" w:after="40"/>
      <w:ind w:left="284"/>
    </w:pPr>
    <w:rPr>
      <w:rFonts w:ascii="Times New Roman" w:hAnsi="Times New Roman"/>
    </w:rPr>
  </w:style>
  <w:style w:type="paragraph" w:styleId="TOC1">
    <w:name w:val="toc 1"/>
    <w:basedOn w:val="TOCBase"/>
    <w:next w:val="Normal"/>
    <w:rsid w:val="00AF24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4BF"/>
    <w:pPr>
      <w:spacing w:before="5040"/>
      <w:jc w:val="center"/>
    </w:pPr>
    <w:rPr>
      <w:sz w:val="48"/>
      <w:szCs w:val="72"/>
      <w:lang w:val="en-US"/>
    </w:rPr>
  </w:style>
  <w:style w:type="character" w:customStyle="1" w:styleId="TitleChar">
    <w:name w:val="Title Char"/>
    <w:basedOn w:val="DefaultParagraphFont"/>
    <w:link w:val="Title"/>
    <w:rsid w:val="00AF2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4BF"/>
    <w:pPr>
      <w:tabs>
        <w:tab w:val="left" w:pos="3600"/>
        <w:tab w:val="left" w:pos="3958"/>
      </w:tabs>
    </w:pPr>
  </w:style>
  <w:style w:type="paragraph" w:customStyle="1" w:styleId="Note">
    <w:name w:val="Note"/>
    <w:basedOn w:val="BodyText"/>
    <w:rsid w:val="00AF2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4BF"/>
    <w:pPr>
      <w:framePr w:wrap="auto" w:hAnchor="text" w:y="6049"/>
    </w:pPr>
    <w:rPr>
      <w:color w:val="000000"/>
      <w:sz w:val="40"/>
    </w:rPr>
  </w:style>
  <w:style w:type="paragraph" w:customStyle="1" w:styleId="TOCTitle">
    <w:name w:val="TOCTitle"/>
    <w:basedOn w:val="Heading1"/>
    <w:rsid w:val="00AF24BF"/>
    <w:pPr>
      <w:spacing w:after="240"/>
      <w:jc w:val="center"/>
      <w:outlineLvl w:val="9"/>
    </w:pPr>
    <w:rPr>
      <w:caps/>
    </w:rPr>
  </w:style>
  <w:style w:type="paragraph" w:customStyle="1" w:styleId="Version">
    <w:name w:val="Version"/>
    <w:rsid w:val="00AF24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4BF"/>
    <w:pPr>
      <w:keepNext w:val="0"/>
      <w:tabs>
        <w:tab w:val="right" w:pos="4176"/>
      </w:tabs>
      <w:ind w:left="198" w:hanging="198"/>
    </w:pPr>
    <w:rPr>
      <w:rFonts w:ascii="Garamond" w:hAnsi="Garamond"/>
    </w:rPr>
  </w:style>
  <w:style w:type="paragraph" w:styleId="IndexHeading">
    <w:name w:val="index heading"/>
    <w:basedOn w:val="Normal"/>
    <w:next w:val="Index1"/>
    <w:semiHidden/>
    <w:rsid w:val="00AF24BF"/>
    <w:pPr>
      <w:spacing w:before="120" w:after="120"/>
    </w:pPr>
    <w:rPr>
      <w:rFonts w:ascii="Arial" w:hAnsi="Arial"/>
      <w:b/>
      <w:color w:val="918585"/>
      <w:sz w:val="24"/>
    </w:rPr>
  </w:style>
  <w:style w:type="paragraph" w:customStyle="1" w:styleId="Chapter">
    <w:name w:val="Chapter"/>
    <w:basedOn w:val="Normal"/>
    <w:rsid w:val="00AF24BF"/>
    <w:pPr>
      <w:spacing w:before="240"/>
    </w:pPr>
    <w:rPr>
      <w:rFonts w:ascii="Times New Roman" w:hAnsi="Times New Roman"/>
      <w:smallCaps/>
      <w:spacing w:val="80"/>
      <w:sz w:val="28"/>
    </w:rPr>
  </w:style>
  <w:style w:type="paragraph" w:customStyle="1" w:styleId="InChapter">
    <w:name w:val="InChapter"/>
    <w:basedOn w:val="Heading3"/>
    <w:rsid w:val="00AF24BF"/>
    <w:pPr>
      <w:spacing w:after="240"/>
      <w:outlineLvl w:val="9"/>
    </w:pPr>
    <w:rPr>
      <w:noProof/>
    </w:rPr>
  </w:style>
  <w:style w:type="paragraph" w:styleId="Index2">
    <w:name w:val="index 2"/>
    <w:basedOn w:val="Normal"/>
    <w:next w:val="Normal"/>
    <w:semiHidden/>
    <w:rsid w:val="00AF24BF"/>
    <w:pPr>
      <w:tabs>
        <w:tab w:val="right" w:pos="4176"/>
      </w:tabs>
      <w:ind w:left="568" w:hanging="284"/>
    </w:pPr>
    <w:rPr>
      <w:rFonts w:ascii="Garamond" w:hAnsi="Garamond"/>
    </w:rPr>
  </w:style>
  <w:style w:type="paragraph" w:customStyle="1" w:styleId="Byline">
    <w:name w:val="Byline"/>
    <w:rsid w:val="00AF2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4BF"/>
    <w:pPr>
      <w:tabs>
        <w:tab w:val="clear" w:pos="3600"/>
        <w:tab w:val="clear" w:pos="3958"/>
      </w:tabs>
      <w:jc w:val="right"/>
    </w:pPr>
  </w:style>
  <w:style w:type="character" w:styleId="Emphasis">
    <w:name w:val="Emphasis"/>
    <w:basedOn w:val="DefaultParagraphFont"/>
    <w:qFormat/>
    <w:rsid w:val="00AF24BF"/>
    <w:rPr>
      <w:i/>
    </w:rPr>
  </w:style>
  <w:style w:type="paragraph" w:styleId="Caption">
    <w:name w:val="caption"/>
    <w:basedOn w:val="BodyText"/>
    <w:next w:val="Normal"/>
    <w:qFormat/>
    <w:rsid w:val="00AF24BF"/>
    <w:pPr>
      <w:framePr w:w="2268" w:hSpace="181" w:vSpace="181" w:wrap="around" w:vAnchor="text" w:hAnchor="page" w:x="1135" w:y="285" w:anchorLock="1"/>
    </w:pPr>
    <w:rPr>
      <w:i/>
    </w:rPr>
  </w:style>
  <w:style w:type="paragraph" w:customStyle="1" w:styleId="MiniTOCTitle">
    <w:name w:val="MiniTOCTitle"/>
    <w:basedOn w:val="Heading4"/>
    <w:rsid w:val="00AF24BF"/>
    <w:pPr>
      <w:spacing w:before="240"/>
      <w:outlineLvl w:val="9"/>
    </w:pPr>
    <w:rPr>
      <w:noProof/>
      <w:sz w:val="24"/>
    </w:rPr>
  </w:style>
  <w:style w:type="paragraph" w:customStyle="1" w:styleId="MiniTOCItem">
    <w:name w:val="MiniTOCItem"/>
    <w:basedOn w:val="ListBullet"/>
    <w:rsid w:val="00AF24BF"/>
    <w:pPr>
      <w:numPr>
        <w:numId w:val="0"/>
      </w:numPr>
      <w:tabs>
        <w:tab w:val="right" w:leader="dot" w:pos="6521"/>
      </w:tabs>
      <w:spacing w:before="0" w:after="0"/>
    </w:pPr>
  </w:style>
  <w:style w:type="paragraph" w:customStyle="1" w:styleId="TOFTitle">
    <w:name w:val="TOFTitle"/>
    <w:basedOn w:val="TOCTitle"/>
    <w:rsid w:val="00AF24BF"/>
  </w:style>
  <w:style w:type="paragraph" w:styleId="TableofFigures">
    <w:name w:val="table of figures"/>
    <w:basedOn w:val="Normal"/>
    <w:next w:val="Normal"/>
    <w:semiHidden/>
    <w:rsid w:val="00AF24BF"/>
    <w:pPr>
      <w:tabs>
        <w:tab w:val="right" w:leader="dot" w:pos="9072"/>
      </w:tabs>
      <w:ind w:left="970" w:hanging="403"/>
    </w:pPr>
    <w:rPr>
      <w:rFonts w:ascii="Times New Roman" w:hAnsi="Times New Roman"/>
      <w:b/>
    </w:rPr>
  </w:style>
  <w:style w:type="paragraph" w:styleId="ListNumber">
    <w:name w:val="List Number"/>
    <w:basedOn w:val="List"/>
    <w:rsid w:val="00AF24BF"/>
    <w:pPr>
      <w:numPr>
        <w:numId w:val="11"/>
      </w:numPr>
    </w:pPr>
  </w:style>
  <w:style w:type="character" w:customStyle="1" w:styleId="WingdingSymbols">
    <w:name w:val="Wingding Symbols"/>
    <w:rsid w:val="00AF24BF"/>
    <w:rPr>
      <w:rFonts w:ascii="Wingdings" w:hAnsi="Wingdings"/>
    </w:rPr>
  </w:style>
  <w:style w:type="paragraph" w:customStyle="1" w:styleId="TableHeading">
    <w:name w:val="Table Heading"/>
    <w:basedOn w:val="HeadingBase"/>
    <w:rsid w:val="00AF24BF"/>
    <w:pPr>
      <w:keepLines/>
      <w:pBdr>
        <w:bottom w:val="single" w:sz="6" w:space="1" w:color="918585"/>
      </w:pBdr>
      <w:spacing w:before="240"/>
    </w:pPr>
  </w:style>
  <w:style w:type="character" w:customStyle="1" w:styleId="HotSpot">
    <w:name w:val="HotSpot"/>
    <w:rsid w:val="00AF24BF"/>
    <w:rPr>
      <w:color w:val="0033CC"/>
      <w:u w:val="none"/>
    </w:rPr>
  </w:style>
  <w:style w:type="paragraph" w:customStyle="1" w:styleId="BodyTextRight">
    <w:name w:val="Body Text Right"/>
    <w:basedOn w:val="BodyText"/>
    <w:rsid w:val="00AF24BF"/>
    <w:pPr>
      <w:spacing w:before="0" w:after="0"/>
      <w:jc w:val="right"/>
    </w:pPr>
  </w:style>
  <w:style w:type="paragraph" w:styleId="Index3">
    <w:name w:val="index 3"/>
    <w:basedOn w:val="ListNumber2"/>
    <w:next w:val="Normal"/>
    <w:semiHidden/>
    <w:rsid w:val="00AF24BF"/>
    <w:pPr>
      <w:numPr>
        <w:numId w:val="0"/>
      </w:numPr>
      <w:tabs>
        <w:tab w:val="right" w:leader="dot" w:pos="4176"/>
      </w:tabs>
    </w:pPr>
  </w:style>
  <w:style w:type="paragraph" w:styleId="ListNumber2">
    <w:name w:val="List Number 2"/>
    <w:basedOn w:val="List2"/>
    <w:rsid w:val="00AF24BF"/>
    <w:pPr>
      <w:numPr>
        <w:numId w:val="10"/>
      </w:numPr>
      <w:tabs>
        <w:tab w:val="clear" w:pos="1060"/>
      </w:tabs>
    </w:pPr>
  </w:style>
  <w:style w:type="paragraph" w:customStyle="1" w:styleId="MarginNote">
    <w:name w:val="Margin Note"/>
    <w:basedOn w:val="BodyText"/>
    <w:rsid w:val="00AF2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4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24BF"/>
    <w:rPr>
      <w:sz w:val="32"/>
    </w:rPr>
  </w:style>
  <w:style w:type="paragraph" w:customStyle="1" w:styleId="HeadingProcedure">
    <w:name w:val="Heading Procedure"/>
    <w:basedOn w:val="HeadingBase"/>
    <w:next w:val="Normal"/>
    <w:rsid w:val="00AF24BF"/>
    <w:pPr>
      <w:tabs>
        <w:tab w:val="left" w:pos="0"/>
      </w:tabs>
      <w:spacing w:before="120" w:after="60"/>
    </w:pPr>
    <w:rPr>
      <w:i/>
      <w:color w:val="918585"/>
      <w:sz w:val="22"/>
    </w:rPr>
  </w:style>
  <w:style w:type="paragraph" w:customStyle="1" w:styleId="TableBodyText">
    <w:name w:val="Table Body Text"/>
    <w:basedOn w:val="BodyText"/>
    <w:rsid w:val="00AF24BF"/>
    <w:pPr>
      <w:spacing w:before="60" w:after="60"/>
    </w:pPr>
  </w:style>
  <w:style w:type="paragraph" w:styleId="ListContinue">
    <w:name w:val="List Continue"/>
    <w:basedOn w:val="List"/>
    <w:rsid w:val="00AF24BF"/>
    <w:pPr>
      <w:ind w:firstLine="0"/>
    </w:pPr>
  </w:style>
  <w:style w:type="paragraph" w:customStyle="1" w:styleId="ListNote">
    <w:name w:val="List Note"/>
    <w:basedOn w:val="List"/>
    <w:rsid w:val="00AF24BF"/>
    <w:pPr>
      <w:pBdr>
        <w:top w:val="single" w:sz="6" w:space="2" w:color="918585"/>
        <w:bottom w:val="single" w:sz="6" w:space="2" w:color="918585"/>
      </w:pBdr>
      <w:tabs>
        <w:tab w:val="left" w:pos="1021"/>
      </w:tabs>
      <w:ind w:firstLine="0"/>
    </w:pPr>
  </w:style>
  <w:style w:type="paragraph" w:customStyle="1" w:styleId="Warning">
    <w:name w:val="Warning"/>
    <w:basedOn w:val="BodyText"/>
    <w:rsid w:val="00AF24BF"/>
    <w:pPr>
      <w:shd w:val="clear" w:color="auto" w:fill="D9D9D9"/>
      <w:tabs>
        <w:tab w:val="left" w:pos="992"/>
      </w:tabs>
      <w:ind w:left="119" w:right="119"/>
    </w:pPr>
    <w:rPr>
      <w:sz w:val="20"/>
    </w:rPr>
  </w:style>
  <w:style w:type="paragraph" w:customStyle="1" w:styleId="MarginIcons">
    <w:name w:val="Margin Icons"/>
    <w:basedOn w:val="BodyText"/>
    <w:rsid w:val="00AF2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4BF"/>
    <w:rPr>
      <w:rFonts w:ascii="Courier New" w:hAnsi="Courier New"/>
    </w:rPr>
  </w:style>
  <w:style w:type="paragraph" w:customStyle="1" w:styleId="NoteBullet">
    <w:name w:val="Note Bullet"/>
    <w:basedOn w:val="Note"/>
    <w:rsid w:val="00AF24BF"/>
    <w:pPr>
      <w:tabs>
        <w:tab w:val="clear" w:pos="680"/>
      </w:tabs>
      <w:spacing w:before="60" w:after="60"/>
    </w:pPr>
  </w:style>
  <w:style w:type="paragraph" w:customStyle="1" w:styleId="SubHeading2">
    <w:name w:val="SubHeading2"/>
    <w:basedOn w:val="HeadingBase"/>
    <w:rsid w:val="00AF24BF"/>
    <w:pPr>
      <w:spacing w:before="240" w:after="60"/>
    </w:pPr>
    <w:rPr>
      <w:sz w:val="20"/>
    </w:rPr>
  </w:style>
  <w:style w:type="paragraph" w:customStyle="1" w:styleId="SubHeading1">
    <w:name w:val="SubHeading1"/>
    <w:basedOn w:val="HeadingBase"/>
    <w:rsid w:val="00AF24BF"/>
    <w:pPr>
      <w:spacing w:before="240" w:after="60"/>
    </w:pPr>
    <w:rPr>
      <w:color w:val="918585"/>
      <w:sz w:val="22"/>
    </w:rPr>
  </w:style>
  <w:style w:type="paragraph" w:customStyle="1" w:styleId="SideHeading">
    <w:name w:val="Side Heading"/>
    <w:basedOn w:val="HeadingBase"/>
    <w:rsid w:val="00AF2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4BF"/>
    <w:pPr>
      <w:numPr>
        <w:numId w:val="12"/>
      </w:numPr>
    </w:pPr>
  </w:style>
  <w:style w:type="paragraph" w:styleId="PlainText">
    <w:name w:val="Plain Text"/>
    <w:basedOn w:val="Normal"/>
    <w:link w:val="PlainTextChar"/>
    <w:rsid w:val="00AF24BF"/>
    <w:rPr>
      <w:sz w:val="20"/>
    </w:rPr>
  </w:style>
  <w:style w:type="character" w:customStyle="1" w:styleId="PlainTextChar">
    <w:name w:val="Plain Text Char"/>
    <w:basedOn w:val="DefaultParagraphFont"/>
    <w:link w:val="PlainText"/>
    <w:rsid w:val="00AF24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24BF"/>
    <w:rPr>
      <w:b/>
      <w:smallCaps/>
    </w:rPr>
  </w:style>
  <w:style w:type="paragraph" w:customStyle="1" w:styleId="TableListNumber">
    <w:name w:val="Table List Number"/>
    <w:basedOn w:val="ListNumber"/>
    <w:rsid w:val="00AF24BF"/>
    <w:pPr>
      <w:numPr>
        <w:numId w:val="0"/>
      </w:numPr>
    </w:pPr>
  </w:style>
  <w:style w:type="paragraph" w:styleId="TOC4">
    <w:name w:val="toc 4"/>
    <w:basedOn w:val="TOCBase"/>
    <w:next w:val="Normal"/>
    <w:semiHidden/>
    <w:rsid w:val="00AF24BF"/>
    <w:pPr>
      <w:tabs>
        <w:tab w:val="right" w:leader="dot" w:pos="9071"/>
      </w:tabs>
      <w:ind w:left="1701"/>
    </w:pPr>
  </w:style>
  <w:style w:type="paragraph" w:customStyle="1" w:styleId="ListAlpha">
    <w:name w:val="List Alpha"/>
    <w:basedOn w:val="List"/>
    <w:rsid w:val="00AF24BF"/>
    <w:pPr>
      <w:numPr>
        <w:numId w:val="9"/>
      </w:numPr>
    </w:pPr>
  </w:style>
  <w:style w:type="paragraph" w:customStyle="1" w:styleId="ListAlpha2">
    <w:name w:val="List Alpha 2"/>
    <w:basedOn w:val="List2"/>
    <w:rsid w:val="00AF24BF"/>
    <w:pPr>
      <w:numPr>
        <w:numId w:val="8"/>
      </w:numPr>
    </w:pPr>
  </w:style>
  <w:style w:type="paragraph" w:styleId="List3">
    <w:name w:val="List 3"/>
    <w:basedOn w:val="BodyText"/>
    <w:rsid w:val="00AF24BF"/>
    <w:pPr>
      <w:tabs>
        <w:tab w:val="left" w:pos="1021"/>
      </w:tabs>
      <w:spacing w:before="60" w:after="60"/>
      <w:ind w:left="1020" w:hanging="340"/>
    </w:pPr>
  </w:style>
  <w:style w:type="paragraph" w:styleId="List4">
    <w:name w:val="List 4"/>
    <w:basedOn w:val="BodyText"/>
    <w:rsid w:val="00AF24BF"/>
    <w:pPr>
      <w:tabs>
        <w:tab w:val="left" w:pos="1361"/>
      </w:tabs>
      <w:spacing w:before="60" w:after="60"/>
      <w:ind w:left="1361" w:hanging="340"/>
    </w:pPr>
  </w:style>
  <w:style w:type="paragraph" w:styleId="List5">
    <w:name w:val="List 5"/>
    <w:basedOn w:val="BodyText"/>
    <w:rsid w:val="00AF24BF"/>
    <w:pPr>
      <w:tabs>
        <w:tab w:val="left" w:pos="1701"/>
      </w:tabs>
      <w:spacing w:before="60" w:after="60"/>
      <w:ind w:left="1701" w:hanging="340"/>
    </w:pPr>
  </w:style>
  <w:style w:type="paragraph" w:styleId="ListBullet3">
    <w:name w:val="List Bullet 3"/>
    <w:basedOn w:val="List3"/>
    <w:rsid w:val="00AF24BF"/>
    <w:pPr>
      <w:numPr>
        <w:numId w:val="15"/>
      </w:numPr>
      <w:tabs>
        <w:tab w:val="clear" w:pos="1021"/>
      </w:tabs>
      <w:ind w:left="1037" w:hanging="357"/>
    </w:pPr>
  </w:style>
  <w:style w:type="paragraph" w:styleId="ListBullet4">
    <w:name w:val="List Bullet 4"/>
    <w:basedOn w:val="List4"/>
    <w:rsid w:val="00AF24BF"/>
    <w:pPr>
      <w:numPr>
        <w:numId w:val="3"/>
      </w:numPr>
    </w:pPr>
  </w:style>
  <w:style w:type="paragraph" w:styleId="ListBullet5">
    <w:name w:val="List Bullet 5"/>
    <w:basedOn w:val="List5"/>
    <w:rsid w:val="00AF24BF"/>
    <w:pPr>
      <w:numPr>
        <w:numId w:val="4"/>
      </w:numPr>
    </w:pPr>
  </w:style>
  <w:style w:type="paragraph" w:styleId="ListContinue2">
    <w:name w:val="List Continue 2"/>
    <w:basedOn w:val="List2"/>
    <w:rsid w:val="00AF24BF"/>
    <w:pPr>
      <w:ind w:firstLine="0"/>
    </w:pPr>
  </w:style>
  <w:style w:type="paragraph" w:styleId="ListContinue3">
    <w:name w:val="List Continue 3"/>
    <w:basedOn w:val="List3"/>
    <w:rsid w:val="00AF24BF"/>
    <w:pPr>
      <w:ind w:left="1021" w:firstLine="0"/>
    </w:pPr>
  </w:style>
  <w:style w:type="paragraph" w:styleId="ListContinue4">
    <w:name w:val="List Continue 4"/>
    <w:basedOn w:val="List4"/>
    <w:rsid w:val="00AF24BF"/>
    <w:pPr>
      <w:ind w:firstLine="0"/>
    </w:pPr>
  </w:style>
  <w:style w:type="paragraph" w:styleId="ListContinue5">
    <w:name w:val="List Continue 5"/>
    <w:basedOn w:val="List5"/>
    <w:rsid w:val="00AF24BF"/>
    <w:pPr>
      <w:ind w:firstLine="0"/>
    </w:pPr>
  </w:style>
  <w:style w:type="paragraph" w:styleId="ListNumber3">
    <w:name w:val="List Number 3"/>
    <w:basedOn w:val="List3"/>
    <w:rsid w:val="00AF24BF"/>
    <w:pPr>
      <w:numPr>
        <w:numId w:val="5"/>
      </w:numPr>
    </w:pPr>
  </w:style>
  <w:style w:type="paragraph" w:styleId="ListNumber4">
    <w:name w:val="List Number 4"/>
    <w:basedOn w:val="List4"/>
    <w:rsid w:val="00AF24BF"/>
    <w:pPr>
      <w:numPr>
        <w:numId w:val="6"/>
      </w:numPr>
    </w:pPr>
  </w:style>
  <w:style w:type="paragraph" w:styleId="ListNumber5">
    <w:name w:val="List Number 5"/>
    <w:basedOn w:val="List5"/>
    <w:rsid w:val="00AF24BF"/>
    <w:pPr>
      <w:numPr>
        <w:numId w:val="7"/>
      </w:numPr>
    </w:pPr>
  </w:style>
  <w:style w:type="paragraph" w:styleId="BlockText">
    <w:name w:val="Block Text"/>
    <w:basedOn w:val="Normal"/>
    <w:rsid w:val="00AF24BF"/>
    <w:pPr>
      <w:spacing w:after="120"/>
      <w:ind w:left="1440" w:right="1440"/>
    </w:pPr>
  </w:style>
  <w:style w:type="character" w:customStyle="1" w:styleId="Subscript">
    <w:name w:val="Subscript"/>
    <w:basedOn w:val="DefaultParagraphFont"/>
    <w:rsid w:val="00AF24BF"/>
    <w:rPr>
      <w:sz w:val="16"/>
      <w:vertAlign w:val="subscript"/>
    </w:rPr>
  </w:style>
  <w:style w:type="character" w:customStyle="1" w:styleId="Superscript">
    <w:name w:val="Superscript"/>
    <w:basedOn w:val="DefaultParagraphFont"/>
    <w:rsid w:val="00AF24BF"/>
    <w:rPr>
      <w:sz w:val="16"/>
      <w:vertAlign w:val="superscript"/>
    </w:rPr>
  </w:style>
  <w:style w:type="character" w:customStyle="1" w:styleId="Symbols">
    <w:name w:val="Symbols"/>
    <w:basedOn w:val="DefaultParagraphFont"/>
    <w:rsid w:val="00AF24BF"/>
    <w:rPr>
      <w:rFonts w:ascii="Symbol" w:hAnsi="Symbol"/>
    </w:rPr>
  </w:style>
  <w:style w:type="character" w:customStyle="1" w:styleId="MenuOptions">
    <w:name w:val="Menu Options"/>
    <w:basedOn w:val="DefaultParagraphFont"/>
    <w:rsid w:val="00AF24BF"/>
    <w:rPr>
      <w:rFonts w:ascii="Arial Narrow" w:hAnsi="Arial Narrow"/>
      <w:smallCaps/>
    </w:rPr>
  </w:style>
  <w:style w:type="character" w:customStyle="1" w:styleId="Buttons">
    <w:name w:val="Buttons"/>
    <w:basedOn w:val="DefaultParagraphFont"/>
    <w:rsid w:val="00AF24BF"/>
    <w:rPr>
      <w:b/>
    </w:rPr>
  </w:style>
  <w:style w:type="character" w:customStyle="1" w:styleId="Underlined">
    <w:name w:val="Underlined"/>
    <w:basedOn w:val="DefaultParagraphFont"/>
    <w:rsid w:val="00AF24BF"/>
    <w:rPr>
      <w:u w:val="single"/>
    </w:rPr>
  </w:style>
  <w:style w:type="paragraph" w:customStyle="1" w:styleId="TableBodyTextRight">
    <w:name w:val="Table Body Text Right"/>
    <w:basedOn w:val="TableBodyText"/>
    <w:rsid w:val="00AF24BF"/>
    <w:pPr>
      <w:widowControl w:val="0"/>
      <w:autoSpaceDE w:val="0"/>
      <w:autoSpaceDN w:val="0"/>
      <w:adjustRightInd w:val="0"/>
      <w:jc w:val="right"/>
    </w:pPr>
    <w:rPr>
      <w:rFonts w:cs="Arial"/>
      <w:szCs w:val="18"/>
    </w:rPr>
  </w:style>
  <w:style w:type="paragraph" w:customStyle="1" w:styleId="CopyrightText">
    <w:name w:val="Copyright Text"/>
    <w:basedOn w:val="BodyText"/>
    <w:rsid w:val="00AF24BF"/>
    <w:rPr>
      <w:sz w:val="18"/>
    </w:rPr>
  </w:style>
  <w:style w:type="paragraph" w:customStyle="1" w:styleId="BodySmallRight">
    <w:name w:val="Body Small Right"/>
    <w:basedOn w:val="BodyTextRight"/>
    <w:rsid w:val="00AF24BF"/>
    <w:rPr>
      <w:sz w:val="18"/>
      <w:szCs w:val="18"/>
    </w:rPr>
  </w:style>
  <w:style w:type="paragraph" w:customStyle="1" w:styleId="MarginEdition">
    <w:name w:val="Margin Edition"/>
    <w:basedOn w:val="MarginNote"/>
    <w:rsid w:val="00AF24BF"/>
    <w:pPr>
      <w:spacing w:before="0" w:after="0"/>
    </w:pPr>
    <w:rPr>
      <w:rFonts w:ascii="Times New Roman" w:hAnsi="Times New Roman"/>
      <w:color w:val="999999"/>
    </w:rPr>
  </w:style>
  <w:style w:type="paragraph" w:customStyle="1" w:styleId="Spacer">
    <w:name w:val="Spacer"/>
    <w:basedOn w:val="Normal"/>
    <w:rsid w:val="00AF24BF"/>
    <w:rPr>
      <w:sz w:val="2"/>
      <w:szCs w:val="2"/>
    </w:rPr>
  </w:style>
  <w:style w:type="character" w:customStyle="1" w:styleId="Small">
    <w:name w:val="Small"/>
    <w:basedOn w:val="DefaultParagraphFont"/>
    <w:rsid w:val="00AF24BF"/>
    <w:rPr>
      <w:sz w:val="16"/>
    </w:rPr>
  </w:style>
  <w:style w:type="paragraph" w:customStyle="1" w:styleId="WideTable">
    <w:name w:val="Wide Table"/>
    <w:basedOn w:val="Normal"/>
    <w:rsid w:val="00AF24BF"/>
    <w:pPr>
      <w:ind w:left="-1418"/>
    </w:pPr>
    <w:rPr>
      <w:sz w:val="2"/>
      <w:szCs w:val="2"/>
    </w:rPr>
  </w:style>
  <w:style w:type="character" w:styleId="PageNumber">
    <w:name w:val="page number"/>
    <w:basedOn w:val="DefaultParagraphFont"/>
    <w:rsid w:val="00AF24BF"/>
  </w:style>
  <w:style w:type="paragraph" w:styleId="Quote">
    <w:name w:val="Quote"/>
    <w:basedOn w:val="Heading1"/>
    <w:link w:val="QuoteChar"/>
    <w:qFormat/>
    <w:rsid w:val="00AF24BF"/>
    <w:rPr>
      <w:b w:val="0"/>
      <w:sz w:val="72"/>
      <w:szCs w:val="72"/>
      <w:lang w:val="en-NZ"/>
    </w:rPr>
  </w:style>
  <w:style w:type="character" w:customStyle="1" w:styleId="QuoteChar">
    <w:name w:val="Quote Char"/>
    <w:basedOn w:val="DefaultParagraphFont"/>
    <w:link w:val="Quote"/>
    <w:rsid w:val="00AF2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4BF"/>
    <w:pPr>
      <w:pageBreakBefore/>
    </w:pPr>
  </w:style>
  <w:style w:type="paragraph" w:customStyle="1" w:styleId="Border">
    <w:name w:val="Border"/>
    <w:basedOn w:val="Normal"/>
    <w:qFormat/>
    <w:rsid w:val="00AF2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4BF"/>
    <w:rPr>
      <w:b/>
      <w:bCs/>
      <w:i/>
      <w:iCs/>
      <w:color w:val="auto"/>
    </w:rPr>
  </w:style>
  <w:style w:type="paragraph" w:styleId="IntenseQuote">
    <w:name w:val="Intense Quote"/>
    <w:basedOn w:val="Normal"/>
    <w:next w:val="Normal"/>
    <w:link w:val="IntenseQuoteChar"/>
    <w:uiPriority w:val="30"/>
    <w:qFormat/>
    <w:rsid w:val="00AF2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4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24BF"/>
    <w:rPr>
      <w:smallCaps/>
      <w:color w:val="auto"/>
      <w:u w:val="single"/>
    </w:rPr>
  </w:style>
  <w:style w:type="character" w:styleId="IntenseReference">
    <w:name w:val="Intense Reference"/>
    <w:basedOn w:val="DefaultParagraphFont"/>
    <w:uiPriority w:val="32"/>
    <w:qFormat/>
    <w:rsid w:val="00AF24BF"/>
    <w:rPr>
      <w:b/>
      <w:bCs/>
      <w:smallCaps/>
      <w:color w:val="auto"/>
      <w:spacing w:val="5"/>
      <w:u w:val="single"/>
    </w:rPr>
  </w:style>
  <w:style w:type="paragraph" w:customStyle="1" w:styleId="2ColumnHeading">
    <w:name w:val="2Column Heading"/>
    <w:basedOn w:val="BodyText"/>
    <w:qFormat/>
    <w:rsid w:val="00AF24BF"/>
    <w:pPr>
      <w:spacing w:after="60"/>
      <w:ind w:left="-2268"/>
    </w:pPr>
    <w:rPr>
      <w:b/>
    </w:rPr>
  </w:style>
  <w:style w:type="paragraph" w:customStyle="1" w:styleId="Heading1TOC">
    <w:name w:val="Heading1 TOC"/>
    <w:basedOn w:val="Normal"/>
    <w:qFormat/>
    <w:rsid w:val="00AF24BF"/>
    <w:pPr>
      <w:spacing w:before="240" w:after="120"/>
    </w:pPr>
    <w:rPr>
      <w:rFonts w:ascii="Times New Roman" w:hAnsi="Times New Roman"/>
      <w:b/>
      <w:sz w:val="32"/>
    </w:rPr>
  </w:style>
  <w:style w:type="paragraph" w:customStyle="1" w:styleId="Heading2TOC">
    <w:name w:val="Heading2 TOC"/>
    <w:basedOn w:val="Normal"/>
    <w:qFormat/>
    <w:rsid w:val="00AF24BF"/>
    <w:pPr>
      <w:spacing w:before="240" w:after="60"/>
    </w:pPr>
    <w:rPr>
      <w:rFonts w:ascii="Times New Roman" w:hAnsi="Times New Roman"/>
      <w:b/>
      <w:sz w:val="28"/>
    </w:rPr>
  </w:style>
  <w:style w:type="character" w:customStyle="1" w:styleId="Underline">
    <w:name w:val="Underline"/>
    <w:basedOn w:val="DefaultParagraphFont"/>
    <w:qFormat/>
    <w:rsid w:val="00AF24BF"/>
    <w:rPr>
      <w:u w:val="single"/>
    </w:rPr>
  </w:style>
  <w:style w:type="character" w:customStyle="1" w:styleId="BoldandItalics">
    <w:name w:val="Bold and Italics"/>
    <w:qFormat/>
    <w:rsid w:val="00AF24BF"/>
    <w:rPr>
      <w:b/>
      <w:i/>
      <w:u w:val="none"/>
    </w:rPr>
  </w:style>
  <w:style w:type="paragraph" w:styleId="BalloonText">
    <w:name w:val="Balloon Text"/>
    <w:basedOn w:val="Normal"/>
    <w:link w:val="BalloonTextChar"/>
    <w:rsid w:val="00AF24BF"/>
    <w:rPr>
      <w:rFonts w:ascii="Tahoma" w:hAnsi="Tahoma" w:cs="Tahoma"/>
      <w:sz w:val="16"/>
      <w:szCs w:val="16"/>
    </w:rPr>
  </w:style>
  <w:style w:type="character" w:customStyle="1" w:styleId="BalloonTextChar">
    <w:name w:val="Balloon Text Char"/>
    <w:basedOn w:val="DefaultParagraphFont"/>
    <w:link w:val="BalloonText"/>
    <w:rsid w:val="00AF24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24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4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719</Words>
  <Characters>4704</Characters>
  <Application>Microsoft Office Word</Application>
  <DocSecurity>0</DocSecurity>
  <Lines>187</Lines>
  <Paragraphs>89</Paragraphs>
  <ScaleCrop>false</ScaleCrop>
  <Company>Author-it Software Corporation Ltd.</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AHCNSY307A Operate fertigation equipment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2012-05-26T13:09:00Z</dcterms:created>
  <dcterms:modified xsi:type="dcterms:W3CDTF">2012-05-26T13:09:00Z</dcterms:modified>
</cp:coreProperties>
</file>