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1E4" w:rsidP="003A71E4">
      <w:pPr>
        <w:pStyle w:val="Title"/>
      </w:pPr>
      <w:r>
        <w:fldChar w:fldCharType="begin"/>
      </w:r>
      <w:r>
        <w:instrText xml:space="preserve"> TITLE   \* MERGEFORMAT </w:instrText>
      </w:r>
      <w:r>
        <w:fldChar w:fldCharType="separate"/>
      </w:r>
      <w:r>
        <w:t>AHCMOM307A Operate a cane harvester</w:t>
      </w:r>
      <w:r>
        <w:fldChar w:fldCharType="end"/>
      </w:r>
    </w:p>
    <w:p w:rsidR="003A71E4" w:rsidP="003A71E4">
      <w:pPr>
        <w:pStyle w:val="Version"/>
        <w:sectPr w:rsidSect="00130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9A0" w:rsidP="001309A0">
      <w:pPr>
        <w:pStyle w:val="SuperHeading"/>
      </w:pPr>
      <w:r w:rsidRPr="001309A0">
        <w:t>AHCMOM307A Operate a cane harvester</w:t>
      </w:r>
    </w:p>
    <w:p w:rsidR="00000000" w:rsidRPr="001309A0" w:rsidP="001309A0">
      <w:pPr>
        <w:pStyle w:val="Heading1"/>
      </w:pPr>
      <w:bookmarkStart w:id="1" w:name="O_268021"/>
      <w:bookmarkEnd w:id="1"/>
      <w:r w:rsidRPr="001309A0">
        <w:t>Modification History</w:t>
      </w:r>
    </w:p>
    <w:p w:rsidR="00000000" w:rsidRPr="001309A0" w:rsidP="001309A0">
      <w:pPr>
        <w:pStyle w:val="BodyText"/>
      </w:pPr>
      <w:r w:rsidRPr="001309A0">
        <w:t>Not Applicable</w:t>
      </w:r>
    </w:p>
    <w:p w:rsidR="00000000" w:rsidRPr="001309A0" w:rsidP="001309A0">
      <w:pPr>
        <w:pStyle w:val="AllowPageBreak"/>
      </w:pPr>
    </w:p>
    <w:p w:rsidR="00000000" w:rsidRPr="001309A0" w:rsidP="001309A0">
      <w:pPr>
        <w:pStyle w:val="Heading1"/>
      </w:pPr>
      <w:bookmarkStart w:id="2" w:name="O_189290"/>
      <w:bookmarkEnd w:id="2"/>
      <w:r w:rsidRPr="001309A0">
        <w:t>Unit Descriptor</w:t>
      </w:r>
    </w:p>
    <w:tbl>
      <w:tblPr>
        <w:tblW w:w="0" w:type="auto"/>
        <w:tblLayout w:type="fixed"/>
        <w:tblCellMar>
          <w:left w:w="62" w:type="dxa"/>
          <w:right w:w="62" w:type="dxa"/>
        </w:tblCellMar>
        <w:tblLook w:val="0000"/>
      </w:tblPr>
      <w:tblGrid>
        <w:gridCol w:w="2666"/>
        <w:gridCol w:w="5856"/>
      </w:tblGrid>
      <w:tr w:rsidTr="003A71E4">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 xml:space="preserve">This unit covers the process of preparing and operating a cane harvester in the sugar cane production industry and </w:t>
            </w:r>
            <w:r w:rsidRPr="001309A0">
              <w:t>defines the standard required to:  conduct pre-start and shut-down procedures;  communicate and co-operate with other personnel such as haul-out drivers;  control cane spillage;  demonstrate emergency driving procedures;  effectively sterilise the harveste</w:t>
            </w:r>
            <w:r w:rsidRPr="001309A0">
              <w:t>r to prevent cross-property contamination;  maintain operational records.</w:t>
            </w:r>
          </w:p>
        </w:tc>
      </w:tr>
    </w:tbl>
    <w:p w:rsidR="003A71E4" w:rsidP="001309A0">
      <w:pPr>
        <w:pStyle w:val="BodyText"/>
      </w:pPr>
    </w:p>
    <w:p w:rsidR="003A71E4" w:rsidP="001309A0">
      <w:pPr>
        <w:pStyle w:val="BodyText"/>
      </w:pPr>
    </w:p>
    <w:p w:rsidR="00000000" w:rsidRPr="001309A0" w:rsidP="001309A0">
      <w:pPr>
        <w:pStyle w:val="Heading1"/>
      </w:pPr>
      <w:bookmarkStart w:id="3" w:name="O_189294"/>
      <w:bookmarkEnd w:id="3"/>
      <w:r w:rsidRPr="001309A0">
        <w:t>Application of the Unit</w:t>
      </w:r>
    </w:p>
    <w:tbl>
      <w:tblPr>
        <w:tblW w:w="0" w:type="auto"/>
        <w:tblLayout w:type="fixed"/>
        <w:tblCellMar>
          <w:left w:w="62" w:type="dxa"/>
          <w:right w:w="62" w:type="dxa"/>
        </w:tblCellMar>
        <w:tblLook w:val="0000"/>
      </w:tblPr>
      <w:tblGrid>
        <w:gridCol w:w="2756"/>
        <w:gridCol w:w="5766"/>
      </w:tblGrid>
      <w:tr w:rsidTr="003A71E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This unit applies to correctly setting-up, calibrating and operating a cane harvester to maximise sustainable cane production.  The work is likely to be carried out under routine supervision within enterprise guidelines.</w:t>
            </w:r>
          </w:p>
        </w:tc>
      </w:tr>
    </w:tbl>
    <w:p w:rsidR="003A71E4" w:rsidP="001309A0">
      <w:pPr>
        <w:pStyle w:val="BodyText"/>
      </w:pPr>
    </w:p>
    <w:p w:rsidR="003A71E4" w:rsidP="001309A0">
      <w:pPr>
        <w:pStyle w:val="BodyText"/>
      </w:pPr>
    </w:p>
    <w:p w:rsidR="00000000" w:rsidRPr="001309A0" w:rsidP="001309A0">
      <w:pPr>
        <w:pStyle w:val="Heading1"/>
      </w:pPr>
      <w:bookmarkStart w:id="4" w:name="O_276281"/>
      <w:bookmarkEnd w:id="4"/>
      <w:r w:rsidRPr="001309A0">
        <w:t>Licensing/Regul</w:t>
      </w:r>
      <w:r w:rsidRPr="001309A0">
        <w:t>atory Information</w:t>
      </w:r>
    </w:p>
    <w:p w:rsidR="00000000" w:rsidRPr="001309A0" w:rsidP="001309A0">
      <w:pPr>
        <w:pStyle w:val="BodyText"/>
      </w:pPr>
      <w:r w:rsidRPr="001309A0">
        <w:t>Not Applicable</w:t>
      </w:r>
    </w:p>
    <w:p w:rsidR="00000000" w:rsidRPr="001309A0" w:rsidP="001309A0">
      <w:pPr>
        <w:pStyle w:val="AllowPageBreak"/>
      </w:pPr>
    </w:p>
    <w:p w:rsidR="00000000" w:rsidRPr="001309A0" w:rsidP="001309A0">
      <w:pPr>
        <w:pStyle w:val="Heading1"/>
      </w:pPr>
      <w:bookmarkStart w:id="5" w:name="O_189292"/>
      <w:bookmarkEnd w:id="5"/>
      <w:r w:rsidRPr="001309A0">
        <w:t>Pre-Requisites</w:t>
      </w:r>
    </w:p>
    <w:tbl>
      <w:tblPr>
        <w:tblW w:w="0" w:type="auto"/>
        <w:tblLayout w:type="fixed"/>
        <w:tblCellMar>
          <w:left w:w="62" w:type="dxa"/>
          <w:right w:w="62" w:type="dxa"/>
        </w:tblCellMar>
        <w:tblLook w:val="0000"/>
      </w:tblPr>
      <w:tblGrid>
        <w:gridCol w:w="2775"/>
        <w:gridCol w:w="1295"/>
        <w:gridCol w:w="4452"/>
      </w:tblGrid>
      <w:tr w:rsidTr="003A71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p>
        </w:tc>
      </w:tr>
    </w:tbl>
    <w:p w:rsidR="003A71E4" w:rsidP="001309A0">
      <w:pPr>
        <w:pStyle w:val="BodyText"/>
      </w:pPr>
    </w:p>
    <w:p w:rsidR="003A71E4" w:rsidP="001309A0">
      <w:pPr>
        <w:pStyle w:val="BodyText"/>
      </w:pPr>
    </w:p>
    <w:p w:rsidR="00000000" w:rsidRPr="001309A0" w:rsidP="001309A0">
      <w:pPr>
        <w:pStyle w:val="Heading1"/>
      </w:pPr>
      <w:bookmarkStart w:id="6" w:name="O_189291"/>
      <w:bookmarkEnd w:id="6"/>
      <w:r w:rsidRPr="001309A0">
        <w:t>Employability Skills Information</w:t>
      </w:r>
    </w:p>
    <w:tbl>
      <w:tblPr>
        <w:tblW w:w="0" w:type="auto"/>
        <w:tblLayout w:type="fixed"/>
        <w:tblCellMar>
          <w:left w:w="62" w:type="dxa"/>
          <w:right w:w="62" w:type="dxa"/>
        </w:tblCellMar>
        <w:tblLook w:val="0000"/>
      </w:tblPr>
      <w:tblGrid>
        <w:gridCol w:w="2802"/>
        <w:gridCol w:w="5720"/>
      </w:tblGrid>
      <w:tr w:rsidTr="003A71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This unit contains employability skills.</w:t>
            </w:r>
          </w:p>
        </w:tc>
      </w:tr>
    </w:tbl>
    <w:p w:rsidR="003A71E4" w:rsidP="001309A0">
      <w:pPr>
        <w:pStyle w:val="BodyText"/>
      </w:pPr>
    </w:p>
    <w:p w:rsidR="003A71E4" w:rsidP="001309A0">
      <w:pPr>
        <w:pStyle w:val="BodyText"/>
      </w:pPr>
    </w:p>
    <w:p w:rsidR="00000000" w:rsidRPr="001309A0" w:rsidP="001309A0">
      <w:pPr>
        <w:pStyle w:val="Heading1"/>
      </w:pPr>
      <w:bookmarkStart w:id="7" w:name="O_286067"/>
      <w:bookmarkEnd w:id="7"/>
      <w:r w:rsidRPr="001309A0">
        <w:t>Elements and Performance Criteria Pre-Content</w:t>
      </w:r>
    </w:p>
    <w:p w:rsidR="00000000" w:rsidRPr="001309A0" w:rsidP="001309A0">
      <w:pPr>
        <w:pStyle w:val="BodyText"/>
      </w:pPr>
      <w:r w:rsidRPr="001309A0">
        <w:t>Not Applicable</w:t>
      </w:r>
    </w:p>
    <w:p w:rsidR="00000000" w:rsidRPr="001309A0" w:rsidP="001309A0">
      <w:pPr>
        <w:pStyle w:val="AllowPageBreak"/>
      </w:pPr>
    </w:p>
    <w:p w:rsidR="00000000" w:rsidRPr="001309A0" w:rsidP="001309A0">
      <w:pPr>
        <w:pStyle w:val="Heading1"/>
      </w:pPr>
      <w:bookmarkStart w:id="8" w:name="O_232734"/>
      <w:bookmarkEnd w:id="8"/>
      <w:r w:rsidRPr="001309A0">
        <w:t>Elements and Performance Criteria</w:t>
      </w:r>
    </w:p>
    <w:tbl>
      <w:tblPr>
        <w:tblW w:w="0" w:type="auto"/>
        <w:tblLayout w:type="fixed"/>
        <w:tblCellMar>
          <w:left w:w="62" w:type="dxa"/>
          <w:right w:w="62" w:type="dxa"/>
        </w:tblCellMar>
        <w:tblLook w:val="0000"/>
      </w:tblPr>
      <w:tblGrid>
        <w:gridCol w:w="2551"/>
        <w:gridCol w:w="5971"/>
      </w:tblGrid>
      <w:tr w:rsidTr="003A71E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PERFORMANCE CRITERIA</w:t>
            </w:r>
          </w:p>
        </w:tc>
      </w:tr>
      <w:tr w:rsidTr="003A71E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List"/>
              <w:rPr>
                <w:lang w:val="en-NZ"/>
              </w:rPr>
            </w:pPr>
            <w:r w:rsidRPr="001309A0">
              <w:t>1.</w:t>
            </w:r>
            <w:r w:rsidRPr="001309A0">
              <w:tab/>
              <w:t>Prepare a cane harvester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2"/>
            </w:pPr>
            <w:r w:rsidRPr="001309A0">
              <w:t>1.1.</w:t>
            </w:r>
            <w:r w:rsidRPr="001309A0">
              <w:tab/>
            </w:r>
            <w:r w:rsidRPr="001309A0">
              <w:t>Routine pre-operational checks of cane harvester are completed to manufacturer's specifications and enterprise requirements.</w:t>
            </w:r>
          </w:p>
          <w:p w:rsidR="00000000" w:rsidRPr="001309A0" w:rsidP="001309A0">
            <w:pPr>
              <w:pStyle w:val="List2"/>
            </w:pPr>
            <w:r w:rsidRPr="001309A0">
              <w:t>1.2.</w:t>
            </w:r>
            <w:r w:rsidRPr="001309A0">
              <w:tab/>
              <w:t>Cabin drill is carried out according to enterprise instructions and safety routines.</w:t>
            </w:r>
          </w:p>
          <w:p w:rsidR="00000000" w:rsidRPr="001309A0" w:rsidP="001309A0">
            <w:pPr>
              <w:pStyle w:val="List2"/>
            </w:pPr>
            <w:r w:rsidRPr="001309A0">
              <w:t>1.3.</w:t>
            </w:r>
            <w:r w:rsidRPr="001309A0">
              <w:tab/>
              <w:t>Potential and existing hazards in th</w:t>
            </w:r>
            <w:r w:rsidRPr="001309A0">
              <w:t>e workplace are recognised, risks assessed and controlled according to Occupational Health and Safety (OHS) requirements.</w:t>
            </w:r>
          </w:p>
          <w:p w:rsidR="00000000" w:rsidRPr="001309A0" w:rsidP="001309A0">
            <w:pPr>
              <w:pStyle w:val="List2"/>
            </w:pPr>
            <w:r w:rsidRPr="001309A0">
              <w:t>1.4.</w:t>
            </w:r>
            <w:r w:rsidRPr="001309A0">
              <w:tab/>
              <w:t>Suitable personal protective equipment is selected, used and maintained according to OHS requirements.</w:t>
            </w:r>
          </w:p>
          <w:p w:rsidR="00000000" w:rsidP="001309A0">
            <w:pPr>
              <w:pStyle w:val="List2"/>
              <w:rPr>
                <w:lang w:val="en-NZ"/>
              </w:rPr>
            </w:pPr>
            <w:r w:rsidRPr="001309A0">
              <w:t>1.5.</w:t>
            </w:r>
            <w:r w:rsidRPr="001309A0">
              <w:tab/>
              <w:t>Crop class, variety a</w:t>
            </w:r>
            <w:r w:rsidRPr="001309A0">
              <w:t>nd field for harvest is correctly located and selected.</w:t>
            </w:r>
          </w:p>
        </w:tc>
      </w:tr>
      <w:tr w:rsidTr="003A71E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List"/>
              <w:rPr>
                <w:lang w:val="en-NZ"/>
              </w:rPr>
            </w:pPr>
            <w:r w:rsidRPr="001309A0">
              <w:t>2.</w:t>
            </w:r>
            <w:r w:rsidRPr="001309A0">
              <w:tab/>
              <w:t>Carry out cane harvesting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2"/>
            </w:pPr>
            <w:r w:rsidRPr="001309A0">
              <w:t>2.1.</w:t>
            </w:r>
            <w:r w:rsidRPr="001309A0">
              <w:tab/>
              <w:t>Harvester is set and operated in a safe, controlled and correct manner and monitored for performance and efficiency.</w:t>
            </w:r>
          </w:p>
          <w:p w:rsidR="00000000" w:rsidRPr="001309A0" w:rsidP="001309A0">
            <w:pPr>
              <w:pStyle w:val="List2"/>
            </w:pPr>
            <w:r w:rsidRPr="001309A0">
              <w:t>2.2.</w:t>
            </w:r>
            <w:r w:rsidRPr="001309A0">
              <w:tab/>
              <w:t>Harvester is operated in co-ordination with</w:t>
            </w:r>
            <w:r w:rsidRPr="001309A0">
              <w:t xml:space="preserve"> haul out vehicles and other associated harvesting equipment.</w:t>
            </w:r>
          </w:p>
          <w:p w:rsidR="00000000" w:rsidRPr="001309A0" w:rsidP="001309A0">
            <w:pPr>
              <w:pStyle w:val="List2"/>
            </w:pPr>
            <w:r w:rsidRPr="001309A0">
              <w:t>2.3.</w:t>
            </w:r>
            <w:r w:rsidRPr="001309A0">
              <w:tab/>
              <w:t>Cane is harvested in a productive, safe and controlled manner and correctly consigned.</w:t>
            </w:r>
          </w:p>
          <w:p w:rsidR="00000000" w:rsidRPr="001309A0" w:rsidP="001309A0">
            <w:pPr>
              <w:pStyle w:val="List2"/>
            </w:pPr>
            <w:r w:rsidRPr="001309A0">
              <w:t>2.4.</w:t>
            </w:r>
            <w:r w:rsidRPr="001309A0">
              <w:tab/>
              <w:t>Risks to self, others and the environment are anticipated and minimisation strategies implemented</w:t>
            </w:r>
            <w:r w:rsidRPr="001309A0">
              <w:t xml:space="preserve"> accordingly.</w:t>
            </w:r>
          </w:p>
          <w:p w:rsidR="00000000" w:rsidP="001309A0">
            <w:pPr>
              <w:pStyle w:val="List2"/>
              <w:rPr>
                <w:lang w:val="en-NZ"/>
              </w:rPr>
            </w:pPr>
            <w:r w:rsidRPr="001309A0">
              <w:t>2.5.</w:t>
            </w:r>
            <w:r w:rsidRPr="001309A0">
              <w:tab/>
              <w:t>Environmental implications associated with cane harvesting are identified, assessed and reported to the supervisor.</w:t>
            </w:r>
          </w:p>
        </w:tc>
      </w:tr>
      <w:tr w:rsidTr="003A71E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List"/>
              <w:rPr>
                <w:lang w:val="en-NZ"/>
              </w:rPr>
            </w:pPr>
            <w:r w:rsidRPr="001309A0">
              <w:t>3.</w:t>
            </w:r>
            <w:r w:rsidRPr="001309A0">
              <w:tab/>
              <w:t>Complete cane harvesting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2"/>
            </w:pPr>
            <w:r w:rsidRPr="001309A0">
              <w:t>3.1.</w:t>
            </w:r>
            <w:r w:rsidRPr="001309A0">
              <w:tab/>
              <w:t>Shut-down procedures for cane harvester are completed to manufacturer's spec</w:t>
            </w:r>
            <w:r w:rsidRPr="001309A0">
              <w:t>ifications and enterprise requirements.</w:t>
            </w:r>
          </w:p>
          <w:p w:rsidR="00000000" w:rsidRPr="001309A0" w:rsidP="001309A0">
            <w:pPr>
              <w:pStyle w:val="List2"/>
            </w:pPr>
            <w:r w:rsidRPr="001309A0">
              <w:t>3.2.</w:t>
            </w:r>
            <w:r w:rsidRPr="001309A0">
              <w:tab/>
              <w:t>Harvester is sterilised at scheduled times according to operators manual and enterprise requirements.</w:t>
            </w:r>
          </w:p>
          <w:p w:rsidR="00000000" w:rsidRPr="001309A0" w:rsidP="001309A0">
            <w:pPr>
              <w:pStyle w:val="List2"/>
            </w:pPr>
            <w:r w:rsidRPr="001309A0">
              <w:t>3.3.</w:t>
            </w:r>
            <w:r w:rsidRPr="001309A0">
              <w:tab/>
              <w:t>Records are completed and maintained according to enterprise requirements.</w:t>
            </w:r>
          </w:p>
          <w:p w:rsidR="00000000" w:rsidRPr="001309A0" w:rsidP="001309A0">
            <w:pPr>
              <w:pStyle w:val="List2"/>
            </w:pPr>
            <w:r w:rsidRPr="001309A0">
              <w:t>3.4.</w:t>
            </w:r>
            <w:r w:rsidRPr="001309A0">
              <w:tab/>
            </w:r>
            <w:r w:rsidRPr="001309A0">
              <w:t>Malfunctions, faults, irregular performance and damage to cane harvester are identified, detailed and reported according to enterprise requirements.</w:t>
            </w:r>
          </w:p>
          <w:p w:rsidR="00000000" w:rsidRPr="001309A0" w:rsidP="001309A0">
            <w:pPr>
              <w:pStyle w:val="List2"/>
            </w:pPr>
            <w:r w:rsidRPr="001309A0">
              <w:t>3.5.</w:t>
            </w:r>
            <w:r w:rsidRPr="001309A0">
              <w:tab/>
              <w:t>Cane harvester is cleaned, secured and stored according to OHS and enterprise requirements.</w:t>
            </w:r>
          </w:p>
        </w:tc>
      </w:tr>
    </w:tbl>
    <w:p w:rsidR="003A71E4" w:rsidP="001309A0">
      <w:pPr>
        <w:pStyle w:val="BodyText"/>
      </w:pPr>
    </w:p>
    <w:p w:rsidR="003A71E4" w:rsidP="001309A0">
      <w:pPr>
        <w:pStyle w:val="BodyText"/>
      </w:pPr>
    </w:p>
    <w:p w:rsidR="00000000" w:rsidRPr="001309A0" w:rsidP="001309A0">
      <w:pPr>
        <w:pStyle w:val="Heading1"/>
      </w:pPr>
      <w:bookmarkStart w:id="9" w:name="O_256684"/>
      <w:bookmarkEnd w:id="9"/>
      <w:r w:rsidRPr="001309A0">
        <w:t>Required Skills and Knowledge</w:t>
      </w:r>
    </w:p>
    <w:tbl>
      <w:tblPr>
        <w:tblW w:w="0" w:type="auto"/>
        <w:tblLayout w:type="fixed"/>
        <w:tblCellMar>
          <w:left w:w="62" w:type="dxa"/>
          <w:right w:w="62" w:type="dxa"/>
        </w:tblCellMar>
        <w:tblLook w:val="0000"/>
      </w:tblPr>
      <w:tblGrid>
        <w:gridCol w:w="8522"/>
      </w:tblGrid>
      <w:tr w:rsidTr="003A71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REQUIRED SKILLS AND KNOWLEDGE</w:t>
            </w:r>
          </w:p>
        </w:tc>
      </w:tr>
      <w:tr w:rsidTr="003A71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t>This section describes the skills and knowledge required for this unit.</w:t>
            </w:r>
          </w:p>
        </w:tc>
      </w:tr>
      <w:tr w:rsidTr="003A7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Required skills</w:t>
            </w:r>
          </w:p>
        </w:tc>
      </w:tr>
      <w:tr w:rsidTr="003A7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Bullet"/>
            </w:pPr>
            <w:r w:rsidRPr="001309A0">
              <w:t>identify hazards and implement safe operating procedures</w:t>
            </w:r>
          </w:p>
          <w:p w:rsidR="00000000" w:rsidRPr="001309A0" w:rsidP="001309A0">
            <w:pPr>
              <w:pStyle w:val="ListBullet"/>
            </w:pPr>
            <w:r w:rsidRPr="001309A0">
              <w:t>readily familiarise self with local conditions</w:t>
            </w:r>
          </w:p>
          <w:p w:rsidR="00000000" w:rsidRPr="001309A0" w:rsidP="001309A0">
            <w:pPr>
              <w:pStyle w:val="ListBullet"/>
            </w:pPr>
            <w:r w:rsidRPr="001309A0">
              <w:t>perform routine safety, basic service and maintenance procedures on cane harvesters</w:t>
            </w:r>
          </w:p>
          <w:p w:rsidR="00000000" w:rsidRPr="001309A0" w:rsidP="001309A0">
            <w:pPr>
              <w:pStyle w:val="ListBullet"/>
            </w:pPr>
            <w:r w:rsidRPr="001309A0">
              <w:t>demonstrate emergency operating procedures</w:t>
            </w:r>
          </w:p>
          <w:p w:rsidR="00000000" w:rsidRPr="001309A0" w:rsidP="001309A0">
            <w:pPr>
              <w:pStyle w:val="ListBullet"/>
            </w:pPr>
            <w:r w:rsidRPr="001309A0">
              <w:t>obtain licenses and permits</w:t>
            </w:r>
          </w:p>
          <w:p w:rsidR="00000000" w:rsidRPr="001309A0" w:rsidP="001309A0">
            <w:pPr>
              <w:pStyle w:val="ListBullet"/>
            </w:pPr>
            <w:r w:rsidRPr="001309A0">
              <w:t>demonstrate safe and environmentally responsible workp</w:t>
            </w:r>
            <w:r w:rsidRPr="001309A0">
              <w:t>lace practices</w:t>
            </w:r>
          </w:p>
          <w:p w:rsidR="00000000" w:rsidRPr="001309A0" w:rsidP="001309A0">
            <w:pPr>
              <w:pStyle w:val="ListBullet"/>
            </w:pPr>
            <w:r w:rsidRPr="001309A0">
              <w:t>read and interpret property maps, operators manuals, manufacturers specifications, work and maintenance plans, and MSDS</w:t>
            </w:r>
          </w:p>
          <w:p w:rsidR="00000000" w:rsidRPr="001309A0" w:rsidP="001309A0">
            <w:pPr>
              <w:pStyle w:val="ListBullet"/>
            </w:pPr>
            <w:r w:rsidRPr="001309A0">
              <w:t>communicate faults, malfunctions and workplace hazards, report and maintain operational records</w:t>
            </w:r>
          </w:p>
          <w:p w:rsidR="00000000" w:rsidRPr="001309A0" w:rsidP="001309A0">
            <w:pPr>
              <w:pStyle w:val="ListBullet"/>
            </w:pPr>
            <w:r w:rsidRPr="001309A0">
              <w:t>comprehend and apply task</w:t>
            </w:r>
            <w:r w:rsidRPr="001309A0">
              <w:t xml:space="preserve"> instructions</w:t>
            </w:r>
          </w:p>
          <w:p w:rsidR="00000000" w:rsidRPr="001309A0" w:rsidP="001309A0">
            <w:pPr>
              <w:pStyle w:val="ListBullet"/>
            </w:pPr>
            <w:r w:rsidRPr="001309A0">
              <w:t>measure and calculate volumes, feed rates, consumption and servicing requirements</w:t>
            </w:r>
          </w:p>
          <w:p w:rsidR="00000000" w:rsidRPr="001309A0" w:rsidP="001309A0">
            <w:pPr>
              <w:pStyle w:val="ListBullet"/>
            </w:pPr>
            <w:r w:rsidRPr="001309A0">
              <w:t>use literacy skills to read, interpret and follow organisational policies and procedures, follow sequenced written instructions, record accurately and legible i</w:t>
            </w:r>
            <w:r w:rsidRPr="001309A0">
              <w:t>nformation collected and select and apply procedures for a range of tasks</w:t>
            </w:r>
          </w:p>
          <w:p w:rsidR="00000000" w:rsidP="001309A0">
            <w:pPr>
              <w:pStyle w:val="ListBullet"/>
              <w:rPr>
                <w:lang w:val="en-NZ"/>
              </w:rPr>
            </w:pPr>
            <w:r w:rsidRPr="001309A0">
              <w:t>use interpersonal skills to work with and relate to people from a range of cultural, social and religious backgrounds and with a range of physical and mental abilities.</w:t>
            </w:r>
          </w:p>
        </w:tc>
      </w:tr>
      <w:tr w:rsidTr="003A7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Required kno</w:t>
            </w:r>
            <w:r w:rsidRPr="001309A0">
              <w:rPr>
                <w:rStyle w:val="SpecialBold"/>
              </w:rPr>
              <w:t>wledge</w:t>
            </w:r>
          </w:p>
        </w:tc>
      </w:tr>
      <w:tr w:rsidTr="003A71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Bullet"/>
            </w:pPr>
            <w:r w:rsidRPr="001309A0">
              <w:t>components, controls and features of cane harvesters and their functions</w:t>
            </w:r>
          </w:p>
          <w:p w:rsidR="00000000" w:rsidRPr="001309A0" w:rsidP="001309A0">
            <w:pPr>
              <w:pStyle w:val="ListBullet"/>
            </w:pPr>
            <w:r w:rsidRPr="001309A0">
              <w:t>operating principles and operating methods for cane harvesters</w:t>
            </w:r>
          </w:p>
          <w:p w:rsidR="00000000" w:rsidRPr="001309A0" w:rsidP="001309A0">
            <w:pPr>
              <w:pStyle w:val="ListBullet"/>
            </w:pPr>
            <w:r w:rsidRPr="001309A0">
              <w:t>cane harvester processes and spillage minimisation techniques</w:t>
            </w:r>
          </w:p>
          <w:p w:rsidR="00000000" w:rsidRPr="001309A0" w:rsidP="001309A0">
            <w:pPr>
              <w:pStyle w:val="ListBullet"/>
            </w:pPr>
            <w:r w:rsidRPr="001309A0">
              <w:t>legislative requirements with regard to licensing</w:t>
            </w:r>
          </w:p>
          <w:p w:rsidR="00000000" w:rsidRPr="001309A0" w:rsidP="001309A0">
            <w:pPr>
              <w:pStyle w:val="ListBullet"/>
            </w:pPr>
            <w:r w:rsidRPr="001309A0">
              <w:t>harvest and haulage processes and procedures</w:t>
            </w:r>
          </w:p>
          <w:p w:rsidR="00000000" w:rsidRPr="001309A0" w:rsidP="001309A0">
            <w:pPr>
              <w:pStyle w:val="ListBullet"/>
            </w:pPr>
            <w:r w:rsidRPr="001309A0">
              <w:t>principles of the safe removal of obstacles from harvesters and adjustment of harvester settings</w:t>
            </w:r>
          </w:p>
          <w:p w:rsidR="00000000" w:rsidRPr="001309A0" w:rsidP="001309A0">
            <w:pPr>
              <w:pStyle w:val="ListBullet"/>
            </w:pPr>
            <w:r w:rsidRPr="001309A0">
              <w:t>OHS and environmental protection legislation, codes of practice and enterprise procedures</w:t>
            </w:r>
          </w:p>
          <w:p w:rsidR="00000000" w:rsidRPr="001309A0" w:rsidP="001309A0">
            <w:pPr>
              <w:pStyle w:val="ListBullet"/>
            </w:pPr>
            <w:r w:rsidRPr="001309A0">
              <w:t>environmental impacts a</w:t>
            </w:r>
            <w:r w:rsidRPr="001309A0">
              <w:t>nd minimisation measures.</w:t>
            </w:r>
          </w:p>
        </w:tc>
      </w:tr>
    </w:tbl>
    <w:p w:rsidR="003A71E4" w:rsidP="001309A0">
      <w:pPr>
        <w:pStyle w:val="BodyText"/>
      </w:pPr>
    </w:p>
    <w:p w:rsidR="003A71E4" w:rsidP="001309A0">
      <w:pPr>
        <w:pStyle w:val="BodyText"/>
      </w:pPr>
    </w:p>
    <w:p w:rsidR="00000000" w:rsidRPr="001309A0" w:rsidP="001309A0">
      <w:pPr>
        <w:pStyle w:val="AllowPageBreak"/>
      </w:pPr>
    </w:p>
    <w:p w:rsidR="00000000" w:rsidRPr="001309A0" w:rsidP="001309A0">
      <w:pPr>
        <w:pStyle w:val="Heading1"/>
      </w:pPr>
      <w:bookmarkStart w:id="10" w:name="O_240718"/>
      <w:bookmarkEnd w:id="10"/>
      <w:r w:rsidRPr="001309A0">
        <w:t>Evidence Guide</w:t>
      </w:r>
    </w:p>
    <w:tbl>
      <w:tblPr>
        <w:tblW w:w="9570" w:type="dxa"/>
        <w:tblLayout w:type="fixed"/>
        <w:tblCellMar>
          <w:left w:w="62" w:type="dxa"/>
          <w:right w:w="62" w:type="dxa"/>
        </w:tblCellMar>
        <w:tblLook w:val="0000"/>
      </w:tblPr>
      <w:tblGrid>
        <w:gridCol w:w="3908"/>
        <w:gridCol w:w="5662"/>
      </w:tblGrid>
      <w:tr w:rsidTr="003A71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EVIDENCE GUIDE</w:t>
            </w:r>
          </w:p>
        </w:tc>
      </w:tr>
      <w:tr w:rsidTr="003A71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t xml:space="preserve">The evidence guide provides advice on assessment and must be read in conjunction with the performance criteria, required skills and knowledge, </w:t>
            </w:r>
            <w:r w:rsidRPr="001309A0">
              <w:t>range statement and the Assessment Guidelines for the Training Package.</w:t>
            </w:r>
          </w:p>
        </w:tc>
      </w:tr>
      <w:tr w:rsidTr="003A7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1309A0" w:rsidP="001309A0">
            <w:pPr>
              <w:pStyle w:val="ListBullet"/>
            </w:pPr>
            <w:r w:rsidRPr="001309A0">
              <w:t xml:space="preserve">conduct pre-start and shut-down procedures </w:t>
            </w:r>
          </w:p>
          <w:p w:rsidR="00000000" w:rsidRPr="001309A0" w:rsidP="001309A0">
            <w:pPr>
              <w:pStyle w:val="ListBullet"/>
            </w:pPr>
            <w:r w:rsidRPr="001309A0">
              <w:t>communicate and co-operate with other personnel such as haul-out drivers</w:t>
            </w:r>
          </w:p>
          <w:p w:rsidR="00000000" w:rsidRPr="001309A0" w:rsidP="001309A0">
            <w:pPr>
              <w:pStyle w:val="ListBullet"/>
            </w:pPr>
            <w:r w:rsidRPr="001309A0">
              <w:t>control cane spillage</w:t>
            </w:r>
          </w:p>
          <w:p w:rsidR="00000000" w:rsidRPr="001309A0" w:rsidP="001309A0">
            <w:pPr>
              <w:pStyle w:val="ListBullet"/>
            </w:pPr>
            <w:r w:rsidRPr="001309A0">
              <w:t xml:space="preserve">demonstrate emergency driving procedures </w:t>
            </w:r>
          </w:p>
          <w:p w:rsidR="00000000" w:rsidRPr="001309A0" w:rsidP="001309A0">
            <w:pPr>
              <w:pStyle w:val="ListBullet"/>
            </w:pPr>
            <w:r w:rsidRPr="001309A0">
              <w:t>effectively sterilise the harvester to prevent cross-property contamination</w:t>
            </w:r>
          </w:p>
          <w:p w:rsidR="00000000" w:rsidP="001309A0">
            <w:pPr>
              <w:pStyle w:val="ListBullet"/>
              <w:rPr>
                <w:lang w:val="en-NZ"/>
              </w:rPr>
            </w:pPr>
            <w:r w:rsidRPr="001309A0">
              <w:t>maintain operational records.</w:t>
            </w:r>
          </w:p>
        </w:tc>
      </w:tr>
      <w:tr w:rsidTr="003A71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Competency requires the application of work practices under work conditions.  Selection and use of r</w:t>
            </w:r>
            <w:r w:rsidRPr="001309A0">
              <w:t>esources for some worksites may differ due to the regional or enterprise circumstances.</w:t>
            </w:r>
          </w:p>
        </w:tc>
      </w:tr>
    </w:tbl>
    <w:p w:rsidR="003A71E4" w:rsidP="001309A0">
      <w:pPr>
        <w:pStyle w:val="BodyText"/>
      </w:pPr>
    </w:p>
    <w:p w:rsidR="003A71E4" w:rsidP="001309A0">
      <w:pPr>
        <w:pStyle w:val="BodyText"/>
      </w:pPr>
    </w:p>
    <w:p w:rsidR="00000000" w:rsidRPr="001309A0" w:rsidP="001309A0">
      <w:pPr>
        <w:pStyle w:val="Heading1"/>
      </w:pPr>
      <w:bookmarkStart w:id="11" w:name="O_248701"/>
      <w:bookmarkEnd w:id="11"/>
      <w:r w:rsidRPr="001309A0">
        <w:t>Range Statement</w:t>
      </w:r>
    </w:p>
    <w:tbl>
      <w:tblPr>
        <w:tblW w:w="0" w:type="auto"/>
        <w:tblLayout w:type="fixed"/>
        <w:tblCellMar>
          <w:left w:w="62" w:type="dxa"/>
          <w:right w:w="62" w:type="dxa"/>
        </w:tblCellMar>
        <w:tblLook w:val="0000"/>
      </w:tblPr>
      <w:tblGrid>
        <w:gridCol w:w="3467"/>
        <w:gridCol w:w="5055"/>
      </w:tblGrid>
      <w:tr w:rsidTr="003A71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RANGE STATEMENT</w:t>
            </w:r>
          </w:p>
        </w:tc>
      </w:tr>
      <w:tr w:rsidTr="003A71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t>The range statement relates to the unit of competency as a whole.</w:t>
            </w:r>
          </w:p>
        </w:tc>
      </w:tr>
      <w:tr w:rsidTr="003A71E4">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t>Hazards may include:</w:t>
            </w:r>
            <w:r w:rsidRPr="001309A0">
              <w:tab/>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ListBullet"/>
            </w:pPr>
            <w:r w:rsidRPr="001309A0">
              <w:t>disturbance of services</w:t>
            </w:r>
          </w:p>
          <w:p w:rsidR="00000000" w:rsidRPr="001309A0" w:rsidP="001309A0">
            <w:pPr>
              <w:pStyle w:val="ListBullet"/>
            </w:pPr>
            <w:r w:rsidRPr="001309A0">
              <w:t>solar radiation</w:t>
            </w:r>
          </w:p>
          <w:p w:rsidR="00000000" w:rsidRPr="001309A0" w:rsidP="001309A0">
            <w:pPr>
              <w:pStyle w:val="ListBullet"/>
            </w:pPr>
            <w:r w:rsidRPr="001309A0">
              <w:t>dust</w:t>
            </w:r>
          </w:p>
          <w:p w:rsidR="00000000" w:rsidRPr="001309A0" w:rsidP="001309A0">
            <w:pPr>
              <w:pStyle w:val="ListBullet"/>
            </w:pPr>
            <w:r w:rsidRPr="001309A0">
              <w:t>noise</w:t>
            </w:r>
          </w:p>
          <w:p w:rsidR="00000000" w:rsidRPr="001309A0" w:rsidP="001309A0">
            <w:pPr>
              <w:pStyle w:val="ListBullet"/>
            </w:pPr>
            <w:r w:rsidRPr="001309A0">
              <w:t>through traffic</w:t>
            </w:r>
          </w:p>
          <w:p w:rsidR="00000000" w:rsidRPr="001309A0" w:rsidP="001309A0">
            <w:pPr>
              <w:pStyle w:val="ListBullet"/>
            </w:pPr>
            <w:r w:rsidRPr="001309A0">
              <w:t>uneven surfaces and holes</w:t>
            </w:r>
          </w:p>
          <w:p w:rsidR="00000000" w:rsidRPr="001309A0" w:rsidP="001309A0">
            <w:pPr>
              <w:pStyle w:val="ListBullet"/>
            </w:pPr>
            <w:r w:rsidRPr="001309A0">
              <w:t>moving machinery and machinery parts</w:t>
            </w:r>
          </w:p>
          <w:p w:rsidR="00000000" w:rsidRPr="001309A0" w:rsidP="001309A0">
            <w:pPr>
              <w:pStyle w:val="ListBullet"/>
            </w:pPr>
            <w:r w:rsidRPr="001309A0">
              <w:t>overhead hazards including powerlines.</w:t>
            </w:r>
          </w:p>
        </w:tc>
      </w:tr>
    </w:tbl>
    <w:p w:rsidR="003A71E4" w:rsidP="001309A0">
      <w:pPr>
        <w:pStyle w:val="BodyText"/>
      </w:pPr>
    </w:p>
    <w:p w:rsidR="003A71E4" w:rsidP="001309A0">
      <w:pPr>
        <w:pStyle w:val="BodyText"/>
      </w:pPr>
    </w:p>
    <w:p w:rsidR="00000000" w:rsidRPr="001309A0" w:rsidP="001309A0">
      <w:pPr>
        <w:pStyle w:val="Heading1"/>
      </w:pPr>
      <w:bookmarkStart w:id="12" w:name="O_189296"/>
      <w:bookmarkEnd w:id="12"/>
      <w:r w:rsidRPr="001309A0">
        <w:t>Unit Sector(s)</w:t>
      </w:r>
    </w:p>
    <w:tbl>
      <w:tblPr>
        <w:tblW w:w="0" w:type="auto"/>
        <w:tblLayout w:type="fixed"/>
        <w:tblCellMar>
          <w:left w:w="62" w:type="dxa"/>
          <w:right w:w="62" w:type="dxa"/>
        </w:tblCellMar>
        <w:tblLook w:val="0000"/>
      </w:tblPr>
      <w:tblGrid>
        <w:gridCol w:w="2610"/>
        <w:gridCol w:w="5912"/>
      </w:tblGrid>
      <w:tr w:rsidTr="003A71E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r w:rsidRPr="001309A0">
              <w:t>Machinery operation and maintenance</w:t>
            </w:r>
          </w:p>
        </w:tc>
      </w:tr>
    </w:tbl>
    <w:p w:rsidR="003A71E4" w:rsidP="001309A0">
      <w:pPr>
        <w:pStyle w:val="BodyText"/>
      </w:pPr>
    </w:p>
    <w:p w:rsidR="003A71E4" w:rsidP="001309A0">
      <w:pPr>
        <w:pStyle w:val="BodyText"/>
      </w:pPr>
    </w:p>
    <w:p w:rsidR="00000000" w:rsidRPr="001309A0" w:rsidP="001309A0">
      <w:pPr>
        <w:pStyle w:val="Heading1"/>
      </w:pPr>
      <w:bookmarkStart w:id="13" w:name="O_189293"/>
      <w:bookmarkEnd w:id="13"/>
      <w:r w:rsidRPr="001309A0">
        <w:t>Co-requisite units</w:t>
      </w:r>
    </w:p>
    <w:tbl>
      <w:tblPr>
        <w:tblW w:w="0" w:type="auto"/>
        <w:tblLayout w:type="fixed"/>
        <w:tblCellMar>
          <w:left w:w="62" w:type="dxa"/>
          <w:right w:w="62" w:type="dxa"/>
        </w:tblCellMar>
        <w:tblLook w:val="0000"/>
      </w:tblPr>
      <w:tblGrid>
        <w:gridCol w:w="2641"/>
        <w:gridCol w:w="1322"/>
        <w:gridCol w:w="4559"/>
      </w:tblGrid>
      <w:tr w:rsidTr="003A71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p>
        </w:tc>
      </w:tr>
      <w:tr w:rsidTr="003A71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p>
        </w:tc>
      </w:tr>
    </w:tbl>
    <w:p w:rsidR="003A71E4" w:rsidP="001309A0">
      <w:pPr>
        <w:pStyle w:val="BodyText"/>
      </w:pPr>
    </w:p>
    <w:p w:rsidR="003A71E4" w:rsidP="001309A0">
      <w:pPr>
        <w:pStyle w:val="BodyText"/>
      </w:pPr>
    </w:p>
    <w:p w:rsidR="00000000" w:rsidRPr="001309A0" w:rsidP="001309A0">
      <w:pPr>
        <w:pStyle w:val="Heading1"/>
      </w:pPr>
      <w:bookmarkStart w:id="14" w:name="O_189295"/>
      <w:bookmarkEnd w:id="14"/>
      <w:r w:rsidRPr="001309A0">
        <w:t>Competency field</w:t>
      </w:r>
    </w:p>
    <w:tbl>
      <w:tblPr>
        <w:tblW w:w="0" w:type="auto"/>
        <w:tblLayout w:type="fixed"/>
        <w:tblCellMar>
          <w:left w:w="62" w:type="dxa"/>
          <w:right w:w="62" w:type="dxa"/>
        </w:tblCellMar>
        <w:tblLook w:val="0000"/>
      </w:tblPr>
      <w:tblGrid>
        <w:gridCol w:w="2784"/>
        <w:gridCol w:w="5738"/>
      </w:tblGrid>
      <w:tr w:rsidTr="003A71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9A0">
            <w:pPr>
              <w:pStyle w:val="BodyText"/>
              <w:rPr>
                <w:lang w:val="en-NZ"/>
              </w:rPr>
            </w:pPr>
            <w:r w:rsidRPr="001309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9A0" w:rsidP="001309A0">
            <w:pPr>
              <w:pStyle w:val="BodyText"/>
            </w:pPr>
          </w:p>
        </w:tc>
      </w:tr>
    </w:tbl>
    <w:p w:rsidR="003A71E4" w:rsidP="001309A0">
      <w:pPr>
        <w:pStyle w:val="BodyText"/>
      </w:pPr>
    </w:p>
    <w:p w:rsidR="003A71E4" w:rsidP="001309A0">
      <w:pPr>
        <w:pStyle w:val="BodyText"/>
      </w:pPr>
    </w:p>
    <w:p w:rsidR="00000000" w:rsidRPr="001309A0" w:rsidP="001309A0"/>
    <w:sectPr w:rsidSect="00130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1E4" w:rsidP="003A7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E4" w:rsidP="00130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71E4" w:rsidP="001309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A71E4" w:rsidP="001309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1E4" w:rsidP="003A71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E4" w:rsidP="001309A0">
    <w:pPr>
      <w:pStyle w:val="Header"/>
      <w:framePr w:wrap="around"/>
    </w:pPr>
    <w:r>
      <w:fldChar w:fldCharType="begin"/>
    </w:r>
    <w:r>
      <w:instrText xml:space="preserve"> TITLE   \* MERGEFORMAT </w:instrText>
    </w:r>
    <w:r>
      <w:fldChar w:fldCharType="separate"/>
    </w:r>
    <w:r>
      <w:t>AHCMOM307A Operate a cane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71E4" w:rsidP="001309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44C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FA1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9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09A0"/>
    <w:pPr>
      <w:spacing w:before="360" w:after="60"/>
      <w:outlineLvl w:val="0"/>
    </w:pPr>
    <w:rPr>
      <w:sz w:val="32"/>
    </w:rPr>
  </w:style>
  <w:style w:type="paragraph" w:styleId="Heading2">
    <w:name w:val="heading 2"/>
    <w:basedOn w:val="HeadingBase"/>
    <w:next w:val="BodyText"/>
    <w:link w:val="Heading2Char"/>
    <w:qFormat/>
    <w:rsid w:val="001309A0"/>
    <w:pPr>
      <w:keepLines/>
      <w:spacing w:before="240" w:after="120"/>
      <w:outlineLvl w:val="1"/>
    </w:pPr>
    <w:rPr>
      <w:sz w:val="28"/>
      <w:szCs w:val="40"/>
    </w:rPr>
  </w:style>
  <w:style w:type="paragraph" w:styleId="Heading3">
    <w:name w:val="heading 3"/>
    <w:basedOn w:val="HeadingBase"/>
    <w:next w:val="BodyText"/>
    <w:link w:val="Heading3Char"/>
    <w:qFormat/>
    <w:rsid w:val="001309A0"/>
    <w:pPr>
      <w:spacing w:before="180" w:after="120"/>
      <w:outlineLvl w:val="2"/>
    </w:pPr>
    <w:rPr>
      <w:spacing w:val="-10"/>
      <w:kern w:val="32"/>
    </w:rPr>
  </w:style>
  <w:style w:type="paragraph" w:styleId="Heading4">
    <w:name w:val="heading 4"/>
    <w:basedOn w:val="HeadingBase"/>
    <w:next w:val="BodyText"/>
    <w:link w:val="Heading4Char"/>
    <w:qFormat/>
    <w:rsid w:val="001309A0"/>
    <w:pPr>
      <w:spacing w:before="160" w:after="120"/>
      <w:outlineLvl w:val="3"/>
    </w:pPr>
    <w:rPr>
      <w:sz w:val="22"/>
    </w:rPr>
  </w:style>
  <w:style w:type="paragraph" w:styleId="Heading5">
    <w:name w:val="heading 5"/>
    <w:basedOn w:val="HeadingBase"/>
    <w:next w:val="Normal"/>
    <w:link w:val="Heading5Char"/>
    <w:qFormat/>
    <w:rsid w:val="001309A0"/>
    <w:pPr>
      <w:spacing w:before="80"/>
      <w:outlineLvl w:val="4"/>
    </w:pPr>
    <w:rPr>
      <w:color w:val="918585"/>
      <w:sz w:val="20"/>
    </w:rPr>
  </w:style>
  <w:style w:type="paragraph" w:styleId="Heading6">
    <w:name w:val="heading 6"/>
    <w:basedOn w:val="HeadingBase"/>
    <w:next w:val="Normal"/>
    <w:link w:val="Heading6Char"/>
    <w:qFormat/>
    <w:rsid w:val="001309A0"/>
    <w:pPr>
      <w:spacing w:before="60"/>
      <w:outlineLvl w:val="5"/>
    </w:pPr>
    <w:rPr>
      <w:color w:val="918585"/>
      <w:sz w:val="20"/>
    </w:rPr>
  </w:style>
  <w:style w:type="paragraph" w:styleId="Heading7">
    <w:name w:val="heading 7"/>
    <w:basedOn w:val="Normal"/>
    <w:next w:val="Normal"/>
    <w:link w:val="Heading7Char"/>
    <w:qFormat/>
    <w:rsid w:val="001309A0"/>
    <w:pPr>
      <w:ind w:left="720"/>
      <w:outlineLvl w:val="6"/>
    </w:pPr>
    <w:rPr>
      <w:i/>
    </w:rPr>
  </w:style>
  <w:style w:type="paragraph" w:styleId="Heading8">
    <w:name w:val="heading 8"/>
    <w:basedOn w:val="Normal"/>
    <w:next w:val="Normal"/>
    <w:link w:val="Heading8Char"/>
    <w:qFormat/>
    <w:rsid w:val="001309A0"/>
    <w:pPr>
      <w:ind w:left="720"/>
      <w:outlineLvl w:val="7"/>
    </w:pPr>
    <w:rPr>
      <w:i/>
    </w:rPr>
  </w:style>
  <w:style w:type="paragraph" w:styleId="Heading9">
    <w:name w:val="heading 9"/>
    <w:basedOn w:val="Normal"/>
    <w:next w:val="Normal"/>
    <w:link w:val="Heading9Char"/>
    <w:qFormat/>
    <w:rsid w:val="001309A0"/>
    <w:pPr>
      <w:ind w:left="720"/>
      <w:outlineLvl w:val="8"/>
    </w:pPr>
    <w:rPr>
      <w:i/>
    </w:rPr>
  </w:style>
  <w:style w:type="character" w:default="1" w:styleId="DefaultParagraphFont">
    <w:name w:val="Default Paragraph Font"/>
    <w:uiPriority w:val="1"/>
    <w:unhideWhenUsed/>
    <w:rsid w:val="00130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9A0"/>
  </w:style>
  <w:style w:type="character" w:customStyle="1" w:styleId="Heading1Char">
    <w:name w:val="Heading 1 Char"/>
    <w:basedOn w:val="DefaultParagraphFont"/>
    <w:link w:val="Heading1"/>
    <w:rsid w:val="001309A0"/>
    <w:rPr>
      <w:rFonts w:ascii="Times New Roman" w:eastAsia="Times New Roman" w:hAnsi="Times New Roman" w:cs="Times New Roman"/>
      <w:b/>
      <w:sz w:val="32"/>
      <w:szCs w:val="20"/>
      <w:lang w:eastAsia="en-US"/>
    </w:rPr>
  </w:style>
  <w:style w:type="paragraph" w:styleId="BodyText">
    <w:name w:val="Body Text"/>
    <w:basedOn w:val="Normal"/>
    <w:link w:val="BodyTextChar"/>
    <w:rsid w:val="00130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9A0"/>
    <w:rPr>
      <w:rFonts w:ascii="Times New Roman" w:eastAsia="Times New Roman" w:hAnsi="Times New Roman" w:cs="Times New Roman"/>
      <w:sz w:val="24"/>
      <w:lang w:val="en-US" w:eastAsia="en-US"/>
    </w:rPr>
  </w:style>
  <w:style w:type="paragraph" w:styleId="Footer">
    <w:name w:val="footer"/>
    <w:basedOn w:val="Normal"/>
    <w:link w:val="FooterChar"/>
    <w:rsid w:val="00130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9A0"/>
    <w:rPr>
      <w:rFonts w:ascii="Times New Roman" w:eastAsia="Times New Roman" w:hAnsi="Times New Roman" w:cs="Times New Roman"/>
      <w:sz w:val="16"/>
      <w:lang w:val="en-US" w:eastAsia="en-US"/>
    </w:rPr>
  </w:style>
  <w:style w:type="paragraph" w:styleId="List">
    <w:name w:val="List"/>
    <w:basedOn w:val="BodyText"/>
    <w:next w:val="BodyText"/>
    <w:rsid w:val="001309A0"/>
    <w:pPr>
      <w:tabs>
        <w:tab w:val="left" w:pos="340"/>
      </w:tabs>
      <w:spacing w:before="60" w:after="60"/>
      <w:ind w:left="340" w:hanging="340"/>
    </w:pPr>
  </w:style>
  <w:style w:type="paragraph" w:styleId="ListBullet">
    <w:name w:val="List Bullet"/>
    <w:basedOn w:val="List"/>
    <w:rsid w:val="001309A0"/>
    <w:pPr>
      <w:numPr>
        <w:numId w:val="12"/>
      </w:numPr>
      <w:tabs>
        <w:tab w:val="clear" w:pos="340"/>
      </w:tabs>
      <w:spacing w:before="40" w:after="40"/>
    </w:pPr>
  </w:style>
  <w:style w:type="character" w:customStyle="1" w:styleId="SpecialBold">
    <w:name w:val="Special Bold"/>
    <w:basedOn w:val="DefaultParagraphFont"/>
    <w:rsid w:val="001309A0"/>
    <w:rPr>
      <w:b/>
      <w:spacing w:val="0"/>
    </w:rPr>
  </w:style>
  <w:style w:type="paragraph" w:styleId="Header">
    <w:name w:val="header"/>
    <w:basedOn w:val="Normal"/>
    <w:link w:val="HeaderChar"/>
    <w:rsid w:val="00130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9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09A0"/>
    <w:pPr>
      <w:spacing w:before="240" w:after="120"/>
      <w:outlineLvl w:val="0"/>
    </w:pPr>
    <w:rPr>
      <w:rFonts w:ascii="Times New Roman" w:hAnsi="Times New Roman"/>
      <w:b/>
      <w:sz w:val="28"/>
    </w:rPr>
  </w:style>
  <w:style w:type="paragraph" w:customStyle="1" w:styleId="AllowPageBreak">
    <w:name w:val="AllowPageBreak"/>
    <w:rsid w:val="001309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09A0"/>
    <w:pPr>
      <w:tabs>
        <w:tab w:val="left" w:pos="680"/>
      </w:tabs>
      <w:spacing w:before="60" w:after="60"/>
      <w:ind w:left="680" w:hanging="340"/>
    </w:pPr>
  </w:style>
  <w:style w:type="character" w:customStyle="1" w:styleId="Heading2Char">
    <w:name w:val="Heading 2 Char"/>
    <w:basedOn w:val="DefaultParagraphFont"/>
    <w:link w:val="Heading2"/>
    <w:rsid w:val="00130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9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09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09A0"/>
    <w:rPr>
      <w:rFonts w:ascii="Courier New" w:eastAsia="Times New Roman" w:hAnsi="Courier New" w:cs="Times New Roman"/>
      <w:i/>
      <w:szCs w:val="20"/>
      <w:lang w:val="en-US" w:eastAsia="en-US"/>
    </w:rPr>
  </w:style>
  <w:style w:type="paragraph" w:customStyle="1" w:styleId="HeadingBase">
    <w:name w:val="Heading Base"/>
    <w:rsid w:val="00130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9A0"/>
    <w:pPr>
      <w:tabs>
        <w:tab w:val="right" w:leader="dot" w:pos="9072"/>
      </w:tabs>
      <w:ind w:left="567"/>
    </w:pPr>
    <w:rPr>
      <w:szCs w:val="22"/>
    </w:rPr>
  </w:style>
  <w:style w:type="paragraph" w:customStyle="1" w:styleId="TOCBase">
    <w:name w:val="TOC Base"/>
    <w:rsid w:val="00130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9A0"/>
    <w:pPr>
      <w:tabs>
        <w:tab w:val="right" w:leader="dot" w:pos="9072"/>
      </w:tabs>
      <w:spacing w:before="40" w:after="40"/>
      <w:ind w:left="284"/>
    </w:pPr>
    <w:rPr>
      <w:rFonts w:ascii="Times New Roman" w:hAnsi="Times New Roman"/>
    </w:rPr>
  </w:style>
  <w:style w:type="paragraph" w:styleId="TOC1">
    <w:name w:val="toc 1"/>
    <w:basedOn w:val="TOCBase"/>
    <w:next w:val="Normal"/>
    <w:rsid w:val="001309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9A0"/>
    <w:pPr>
      <w:spacing w:before="5040"/>
      <w:jc w:val="center"/>
    </w:pPr>
    <w:rPr>
      <w:sz w:val="48"/>
      <w:szCs w:val="72"/>
      <w:lang w:val="en-US"/>
    </w:rPr>
  </w:style>
  <w:style w:type="character" w:customStyle="1" w:styleId="TitleChar">
    <w:name w:val="Title Char"/>
    <w:basedOn w:val="DefaultParagraphFont"/>
    <w:link w:val="Title"/>
    <w:rsid w:val="00130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9A0"/>
    <w:pPr>
      <w:tabs>
        <w:tab w:val="left" w:pos="3600"/>
        <w:tab w:val="left" w:pos="3958"/>
      </w:tabs>
    </w:pPr>
  </w:style>
  <w:style w:type="paragraph" w:customStyle="1" w:styleId="Note">
    <w:name w:val="Note"/>
    <w:basedOn w:val="BodyText"/>
    <w:rsid w:val="00130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9A0"/>
    <w:pPr>
      <w:framePr w:wrap="auto" w:hAnchor="text" w:y="6049"/>
    </w:pPr>
    <w:rPr>
      <w:color w:val="000000"/>
      <w:sz w:val="40"/>
    </w:rPr>
  </w:style>
  <w:style w:type="paragraph" w:customStyle="1" w:styleId="TOCTitle">
    <w:name w:val="TOCTitle"/>
    <w:basedOn w:val="Heading1"/>
    <w:rsid w:val="001309A0"/>
    <w:pPr>
      <w:spacing w:after="240"/>
      <w:jc w:val="center"/>
      <w:outlineLvl w:val="9"/>
    </w:pPr>
    <w:rPr>
      <w:caps/>
    </w:rPr>
  </w:style>
  <w:style w:type="paragraph" w:customStyle="1" w:styleId="Version">
    <w:name w:val="Version"/>
    <w:rsid w:val="001309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9A0"/>
    <w:pPr>
      <w:numPr>
        <w:numId w:val="13"/>
      </w:numPr>
      <w:tabs>
        <w:tab w:val="clear" w:pos="680"/>
      </w:tabs>
    </w:pPr>
  </w:style>
  <w:style w:type="paragraph" w:styleId="Index1">
    <w:name w:val="index 1"/>
    <w:basedOn w:val="Normal"/>
    <w:next w:val="Normal"/>
    <w:semiHidden/>
    <w:rsid w:val="001309A0"/>
    <w:pPr>
      <w:keepNext w:val="0"/>
      <w:tabs>
        <w:tab w:val="right" w:pos="4176"/>
      </w:tabs>
      <w:ind w:left="198" w:hanging="198"/>
    </w:pPr>
    <w:rPr>
      <w:rFonts w:ascii="Garamond" w:hAnsi="Garamond"/>
    </w:rPr>
  </w:style>
  <w:style w:type="paragraph" w:styleId="IndexHeading">
    <w:name w:val="index heading"/>
    <w:basedOn w:val="Normal"/>
    <w:next w:val="Index1"/>
    <w:semiHidden/>
    <w:rsid w:val="001309A0"/>
    <w:pPr>
      <w:spacing w:before="120" w:after="120"/>
    </w:pPr>
    <w:rPr>
      <w:rFonts w:ascii="Arial" w:hAnsi="Arial"/>
      <w:b/>
      <w:color w:val="918585"/>
      <w:sz w:val="24"/>
    </w:rPr>
  </w:style>
  <w:style w:type="paragraph" w:customStyle="1" w:styleId="Chapter">
    <w:name w:val="Chapter"/>
    <w:basedOn w:val="Normal"/>
    <w:rsid w:val="001309A0"/>
    <w:pPr>
      <w:spacing w:before="240"/>
    </w:pPr>
    <w:rPr>
      <w:rFonts w:ascii="Times New Roman" w:hAnsi="Times New Roman"/>
      <w:smallCaps/>
      <w:spacing w:val="80"/>
      <w:sz w:val="28"/>
    </w:rPr>
  </w:style>
  <w:style w:type="paragraph" w:customStyle="1" w:styleId="InChapter">
    <w:name w:val="InChapter"/>
    <w:basedOn w:val="Heading3"/>
    <w:rsid w:val="001309A0"/>
    <w:pPr>
      <w:spacing w:after="240"/>
      <w:outlineLvl w:val="9"/>
    </w:pPr>
    <w:rPr>
      <w:noProof/>
    </w:rPr>
  </w:style>
  <w:style w:type="paragraph" w:styleId="Index2">
    <w:name w:val="index 2"/>
    <w:basedOn w:val="Normal"/>
    <w:next w:val="Normal"/>
    <w:semiHidden/>
    <w:rsid w:val="001309A0"/>
    <w:pPr>
      <w:tabs>
        <w:tab w:val="right" w:pos="4176"/>
      </w:tabs>
      <w:ind w:left="568" w:hanging="284"/>
    </w:pPr>
    <w:rPr>
      <w:rFonts w:ascii="Garamond" w:hAnsi="Garamond"/>
    </w:rPr>
  </w:style>
  <w:style w:type="paragraph" w:customStyle="1" w:styleId="Byline">
    <w:name w:val="Byline"/>
    <w:rsid w:val="00130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9A0"/>
    <w:pPr>
      <w:tabs>
        <w:tab w:val="clear" w:pos="3600"/>
        <w:tab w:val="clear" w:pos="3958"/>
      </w:tabs>
      <w:jc w:val="right"/>
    </w:pPr>
  </w:style>
  <w:style w:type="character" w:styleId="Emphasis">
    <w:name w:val="Emphasis"/>
    <w:basedOn w:val="DefaultParagraphFont"/>
    <w:qFormat/>
    <w:rsid w:val="001309A0"/>
    <w:rPr>
      <w:i/>
    </w:rPr>
  </w:style>
  <w:style w:type="paragraph" w:styleId="Caption">
    <w:name w:val="caption"/>
    <w:basedOn w:val="BodyText"/>
    <w:next w:val="Normal"/>
    <w:qFormat/>
    <w:rsid w:val="001309A0"/>
    <w:pPr>
      <w:framePr w:w="2268" w:hSpace="181" w:vSpace="181" w:wrap="around" w:vAnchor="text" w:hAnchor="page" w:x="1135" w:y="285" w:anchorLock="1"/>
    </w:pPr>
    <w:rPr>
      <w:i/>
    </w:rPr>
  </w:style>
  <w:style w:type="paragraph" w:customStyle="1" w:styleId="MiniTOCTitle">
    <w:name w:val="MiniTOCTitle"/>
    <w:basedOn w:val="Heading4"/>
    <w:rsid w:val="001309A0"/>
    <w:pPr>
      <w:spacing w:before="240"/>
      <w:outlineLvl w:val="9"/>
    </w:pPr>
    <w:rPr>
      <w:noProof/>
      <w:sz w:val="24"/>
    </w:rPr>
  </w:style>
  <w:style w:type="paragraph" w:customStyle="1" w:styleId="MiniTOCItem">
    <w:name w:val="MiniTOCItem"/>
    <w:basedOn w:val="ListBullet"/>
    <w:rsid w:val="001309A0"/>
    <w:pPr>
      <w:numPr>
        <w:numId w:val="0"/>
      </w:numPr>
      <w:tabs>
        <w:tab w:val="right" w:leader="dot" w:pos="6521"/>
      </w:tabs>
      <w:spacing w:before="0" w:after="0"/>
    </w:pPr>
  </w:style>
  <w:style w:type="paragraph" w:customStyle="1" w:styleId="TOFTitle">
    <w:name w:val="TOFTitle"/>
    <w:basedOn w:val="TOCTitle"/>
    <w:rsid w:val="001309A0"/>
  </w:style>
  <w:style w:type="paragraph" w:styleId="TableofFigures">
    <w:name w:val="table of figures"/>
    <w:basedOn w:val="Normal"/>
    <w:next w:val="Normal"/>
    <w:semiHidden/>
    <w:rsid w:val="001309A0"/>
    <w:pPr>
      <w:tabs>
        <w:tab w:val="right" w:leader="dot" w:pos="9072"/>
      </w:tabs>
      <w:ind w:left="970" w:hanging="403"/>
    </w:pPr>
    <w:rPr>
      <w:rFonts w:ascii="Times New Roman" w:hAnsi="Times New Roman"/>
      <w:b/>
    </w:rPr>
  </w:style>
  <w:style w:type="paragraph" w:styleId="ListNumber">
    <w:name w:val="List Number"/>
    <w:basedOn w:val="List"/>
    <w:rsid w:val="001309A0"/>
    <w:pPr>
      <w:numPr>
        <w:numId w:val="10"/>
      </w:numPr>
    </w:pPr>
  </w:style>
  <w:style w:type="character" w:customStyle="1" w:styleId="WingdingSymbols">
    <w:name w:val="Wingding Symbols"/>
    <w:rsid w:val="001309A0"/>
    <w:rPr>
      <w:rFonts w:ascii="Wingdings" w:hAnsi="Wingdings"/>
    </w:rPr>
  </w:style>
  <w:style w:type="paragraph" w:customStyle="1" w:styleId="TableHeading">
    <w:name w:val="Table Heading"/>
    <w:basedOn w:val="HeadingBase"/>
    <w:rsid w:val="001309A0"/>
    <w:pPr>
      <w:keepLines/>
      <w:pBdr>
        <w:bottom w:val="single" w:sz="6" w:space="1" w:color="918585"/>
      </w:pBdr>
      <w:spacing w:before="240"/>
    </w:pPr>
  </w:style>
  <w:style w:type="character" w:customStyle="1" w:styleId="HotSpot">
    <w:name w:val="HotSpot"/>
    <w:rsid w:val="001309A0"/>
    <w:rPr>
      <w:color w:val="0033CC"/>
      <w:u w:val="none"/>
    </w:rPr>
  </w:style>
  <w:style w:type="paragraph" w:customStyle="1" w:styleId="BodyTextRight">
    <w:name w:val="Body Text Right"/>
    <w:basedOn w:val="BodyText"/>
    <w:rsid w:val="001309A0"/>
    <w:pPr>
      <w:spacing w:before="0" w:after="0"/>
      <w:jc w:val="right"/>
    </w:pPr>
  </w:style>
  <w:style w:type="paragraph" w:styleId="Index3">
    <w:name w:val="index 3"/>
    <w:basedOn w:val="ListNumber2"/>
    <w:next w:val="Normal"/>
    <w:semiHidden/>
    <w:rsid w:val="001309A0"/>
    <w:pPr>
      <w:numPr>
        <w:numId w:val="0"/>
      </w:numPr>
      <w:tabs>
        <w:tab w:val="right" w:leader="dot" w:pos="4176"/>
      </w:tabs>
    </w:pPr>
  </w:style>
  <w:style w:type="paragraph" w:styleId="ListNumber2">
    <w:name w:val="List Number 2"/>
    <w:basedOn w:val="List2"/>
    <w:rsid w:val="001309A0"/>
    <w:pPr>
      <w:numPr>
        <w:numId w:val="9"/>
      </w:numPr>
      <w:tabs>
        <w:tab w:val="clear" w:pos="1060"/>
      </w:tabs>
    </w:pPr>
  </w:style>
  <w:style w:type="paragraph" w:customStyle="1" w:styleId="MarginNote">
    <w:name w:val="Margin Note"/>
    <w:basedOn w:val="BodyText"/>
    <w:rsid w:val="00130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9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09A0"/>
    <w:rPr>
      <w:sz w:val="32"/>
    </w:rPr>
  </w:style>
  <w:style w:type="paragraph" w:customStyle="1" w:styleId="HeadingProcedure">
    <w:name w:val="Heading Procedure"/>
    <w:basedOn w:val="HeadingBase"/>
    <w:next w:val="Normal"/>
    <w:rsid w:val="001309A0"/>
    <w:pPr>
      <w:tabs>
        <w:tab w:val="left" w:pos="0"/>
      </w:tabs>
      <w:spacing w:before="120" w:after="60"/>
    </w:pPr>
    <w:rPr>
      <w:i/>
      <w:color w:val="918585"/>
      <w:sz w:val="22"/>
    </w:rPr>
  </w:style>
  <w:style w:type="paragraph" w:customStyle="1" w:styleId="TableBodyText">
    <w:name w:val="Table Body Text"/>
    <w:basedOn w:val="BodyText"/>
    <w:rsid w:val="001309A0"/>
    <w:pPr>
      <w:spacing w:before="60" w:after="60"/>
    </w:pPr>
  </w:style>
  <w:style w:type="paragraph" w:styleId="ListContinue">
    <w:name w:val="List Continue"/>
    <w:basedOn w:val="List"/>
    <w:rsid w:val="001309A0"/>
    <w:pPr>
      <w:ind w:firstLine="0"/>
    </w:pPr>
  </w:style>
  <w:style w:type="paragraph" w:customStyle="1" w:styleId="ListNote">
    <w:name w:val="List Note"/>
    <w:basedOn w:val="List"/>
    <w:rsid w:val="001309A0"/>
    <w:pPr>
      <w:pBdr>
        <w:top w:val="single" w:sz="6" w:space="2" w:color="918585"/>
        <w:bottom w:val="single" w:sz="6" w:space="2" w:color="918585"/>
      </w:pBdr>
      <w:tabs>
        <w:tab w:val="left" w:pos="1021"/>
      </w:tabs>
      <w:ind w:firstLine="0"/>
    </w:pPr>
  </w:style>
  <w:style w:type="paragraph" w:customStyle="1" w:styleId="Warning">
    <w:name w:val="Warning"/>
    <w:basedOn w:val="BodyText"/>
    <w:rsid w:val="001309A0"/>
    <w:pPr>
      <w:shd w:val="clear" w:color="auto" w:fill="D9D9D9"/>
      <w:tabs>
        <w:tab w:val="left" w:pos="992"/>
      </w:tabs>
      <w:ind w:left="119" w:right="119"/>
    </w:pPr>
    <w:rPr>
      <w:sz w:val="20"/>
    </w:rPr>
  </w:style>
  <w:style w:type="paragraph" w:customStyle="1" w:styleId="MarginIcons">
    <w:name w:val="Margin Icons"/>
    <w:basedOn w:val="BodyText"/>
    <w:rsid w:val="00130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9A0"/>
    <w:rPr>
      <w:rFonts w:ascii="Courier New" w:hAnsi="Courier New"/>
    </w:rPr>
  </w:style>
  <w:style w:type="paragraph" w:customStyle="1" w:styleId="NoteBullet">
    <w:name w:val="Note Bullet"/>
    <w:basedOn w:val="Note"/>
    <w:rsid w:val="001309A0"/>
    <w:pPr>
      <w:tabs>
        <w:tab w:val="clear" w:pos="680"/>
      </w:tabs>
      <w:spacing w:before="60" w:after="60"/>
    </w:pPr>
  </w:style>
  <w:style w:type="paragraph" w:customStyle="1" w:styleId="SubHeading2">
    <w:name w:val="SubHeading2"/>
    <w:basedOn w:val="HeadingBase"/>
    <w:rsid w:val="001309A0"/>
    <w:pPr>
      <w:spacing w:before="240" w:after="60"/>
    </w:pPr>
    <w:rPr>
      <w:sz w:val="20"/>
    </w:rPr>
  </w:style>
  <w:style w:type="paragraph" w:customStyle="1" w:styleId="SubHeading1">
    <w:name w:val="SubHeading1"/>
    <w:basedOn w:val="HeadingBase"/>
    <w:rsid w:val="001309A0"/>
    <w:pPr>
      <w:spacing w:before="240" w:after="60"/>
    </w:pPr>
    <w:rPr>
      <w:color w:val="918585"/>
      <w:sz w:val="22"/>
    </w:rPr>
  </w:style>
  <w:style w:type="paragraph" w:customStyle="1" w:styleId="SideHeading">
    <w:name w:val="Side Heading"/>
    <w:basedOn w:val="HeadingBase"/>
    <w:rsid w:val="00130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9A0"/>
    <w:pPr>
      <w:tabs>
        <w:tab w:val="num" w:pos="360"/>
      </w:tabs>
    </w:pPr>
  </w:style>
  <w:style w:type="paragraph" w:styleId="PlainText">
    <w:name w:val="Plain Text"/>
    <w:basedOn w:val="Normal"/>
    <w:link w:val="PlainTextChar"/>
    <w:rsid w:val="001309A0"/>
    <w:rPr>
      <w:sz w:val="20"/>
    </w:rPr>
  </w:style>
  <w:style w:type="character" w:customStyle="1" w:styleId="PlainTextChar">
    <w:name w:val="Plain Text Char"/>
    <w:basedOn w:val="DefaultParagraphFont"/>
    <w:link w:val="PlainText"/>
    <w:rsid w:val="001309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09A0"/>
    <w:rPr>
      <w:b/>
      <w:smallCaps/>
    </w:rPr>
  </w:style>
  <w:style w:type="paragraph" w:customStyle="1" w:styleId="TableListNumber">
    <w:name w:val="Table List Number"/>
    <w:basedOn w:val="ListNumber"/>
    <w:rsid w:val="001309A0"/>
    <w:pPr>
      <w:numPr>
        <w:numId w:val="0"/>
      </w:numPr>
    </w:pPr>
  </w:style>
  <w:style w:type="paragraph" w:styleId="TOC4">
    <w:name w:val="toc 4"/>
    <w:basedOn w:val="TOCBase"/>
    <w:next w:val="Normal"/>
    <w:semiHidden/>
    <w:rsid w:val="001309A0"/>
    <w:pPr>
      <w:tabs>
        <w:tab w:val="right" w:leader="dot" w:pos="9071"/>
      </w:tabs>
      <w:ind w:left="1701"/>
    </w:pPr>
  </w:style>
  <w:style w:type="paragraph" w:customStyle="1" w:styleId="ListAlpha">
    <w:name w:val="List Alpha"/>
    <w:basedOn w:val="List"/>
    <w:rsid w:val="001309A0"/>
    <w:pPr>
      <w:numPr>
        <w:numId w:val="8"/>
      </w:numPr>
    </w:pPr>
  </w:style>
  <w:style w:type="paragraph" w:customStyle="1" w:styleId="ListAlpha2">
    <w:name w:val="List Alpha 2"/>
    <w:basedOn w:val="List2"/>
    <w:rsid w:val="001309A0"/>
    <w:pPr>
      <w:numPr>
        <w:numId w:val="7"/>
      </w:numPr>
    </w:pPr>
  </w:style>
  <w:style w:type="paragraph" w:styleId="List3">
    <w:name w:val="List 3"/>
    <w:basedOn w:val="BodyText"/>
    <w:rsid w:val="001309A0"/>
    <w:pPr>
      <w:tabs>
        <w:tab w:val="left" w:pos="1021"/>
      </w:tabs>
      <w:spacing w:before="60" w:after="60"/>
      <w:ind w:left="1020" w:hanging="340"/>
    </w:pPr>
  </w:style>
  <w:style w:type="paragraph" w:styleId="List4">
    <w:name w:val="List 4"/>
    <w:basedOn w:val="BodyText"/>
    <w:rsid w:val="001309A0"/>
    <w:pPr>
      <w:tabs>
        <w:tab w:val="left" w:pos="1361"/>
      </w:tabs>
      <w:spacing w:before="60" w:after="60"/>
      <w:ind w:left="1361" w:hanging="340"/>
    </w:pPr>
  </w:style>
  <w:style w:type="paragraph" w:styleId="List5">
    <w:name w:val="List 5"/>
    <w:basedOn w:val="BodyText"/>
    <w:rsid w:val="001309A0"/>
    <w:pPr>
      <w:tabs>
        <w:tab w:val="left" w:pos="1701"/>
      </w:tabs>
      <w:spacing w:before="60" w:after="60"/>
      <w:ind w:left="1701" w:hanging="340"/>
    </w:pPr>
  </w:style>
  <w:style w:type="paragraph" w:styleId="ListBullet3">
    <w:name w:val="List Bullet 3"/>
    <w:basedOn w:val="List3"/>
    <w:rsid w:val="001309A0"/>
    <w:pPr>
      <w:numPr>
        <w:numId w:val="14"/>
      </w:numPr>
      <w:tabs>
        <w:tab w:val="clear" w:pos="1021"/>
      </w:tabs>
      <w:ind w:left="1037" w:hanging="357"/>
    </w:pPr>
  </w:style>
  <w:style w:type="paragraph" w:styleId="ListBullet4">
    <w:name w:val="List Bullet 4"/>
    <w:basedOn w:val="List4"/>
    <w:rsid w:val="001309A0"/>
    <w:pPr>
      <w:numPr>
        <w:numId w:val="2"/>
      </w:numPr>
    </w:pPr>
  </w:style>
  <w:style w:type="paragraph" w:styleId="ListBullet5">
    <w:name w:val="List Bullet 5"/>
    <w:basedOn w:val="List5"/>
    <w:rsid w:val="001309A0"/>
    <w:pPr>
      <w:numPr>
        <w:numId w:val="3"/>
      </w:numPr>
    </w:pPr>
  </w:style>
  <w:style w:type="paragraph" w:styleId="ListContinue2">
    <w:name w:val="List Continue 2"/>
    <w:basedOn w:val="List2"/>
    <w:rsid w:val="001309A0"/>
    <w:pPr>
      <w:ind w:firstLine="0"/>
    </w:pPr>
  </w:style>
  <w:style w:type="paragraph" w:styleId="ListContinue3">
    <w:name w:val="List Continue 3"/>
    <w:basedOn w:val="List3"/>
    <w:rsid w:val="001309A0"/>
    <w:pPr>
      <w:ind w:left="1021" w:firstLine="0"/>
    </w:pPr>
  </w:style>
  <w:style w:type="paragraph" w:styleId="ListContinue4">
    <w:name w:val="List Continue 4"/>
    <w:basedOn w:val="List4"/>
    <w:rsid w:val="001309A0"/>
    <w:pPr>
      <w:ind w:firstLine="0"/>
    </w:pPr>
  </w:style>
  <w:style w:type="paragraph" w:styleId="ListContinue5">
    <w:name w:val="List Continue 5"/>
    <w:basedOn w:val="List5"/>
    <w:rsid w:val="001309A0"/>
    <w:pPr>
      <w:ind w:firstLine="0"/>
    </w:pPr>
  </w:style>
  <w:style w:type="paragraph" w:styleId="ListNumber3">
    <w:name w:val="List Number 3"/>
    <w:basedOn w:val="List3"/>
    <w:rsid w:val="001309A0"/>
    <w:pPr>
      <w:numPr>
        <w:numId w:val="4"/>
      </w:numPr>
    </w:pPr>
  </w:style>
  <w:style w:type="paragraph" w:styleId="ListNumber4">
    <w:name w:val="List Number 4"/>
    <w:basedOn w:val="List4"/>
    <w:rsid w:val="001309A0"/>
    <w:pPr>
      <w:numPr>
        <w:numId w:val="5"/>
      </w:numPr>
    </w:pPr>
  </w:style>
  <w:style w:type="paragraph" w:styleId="ListNumber5">
    <w:name w:val="List Number 5"/>
    <w:basedOn w:val="List5"/>
    <w:rsid w:val="001309A0"/>
    <w:pPr>
      <w:numPr>
        <w:numId w:val="6"/>
      </w:numPr>
    </w:pPr>
  </w:style>
  <w:style w:type="paragraph" w:styleId="BlockText">
    <w:name w:val="Block Text"/>
    <w:basedOn w:val="Normal"/>
    <w:rsid w:val="001309A0"/>
    <w:pPr>
      <w:spacing w:after="120"/>
      <w:ind w:left="1440" w:right="1440"/>
    </w:pPr>
  </w:style>
  <w:style w:type="character" w:customStyle="1" w:styleId="Subscript">
    <w:name w:val="Subscript"/>
    <w:basedOn w:val="DefaultParagraphFont"/>
    <w:rsid w:val="001309A0"/>
    <w:rPr>
      <w:sz w:val="16"/>
      <w:vertAlign w:val="subscript"/>
    </w:rPr>
  </w:style>
  <w:style w:type="character" w:customStyle="1" w:styleId="Superscript">
    <w:name w:val="Superscript"/>
    <w:basedOn w:val="DefaultParagraphFont"/>
    <w:rsid w:val="001309A0"/>
    <w:rPr>
      <w:sz w:val="16"/>
      <w:vertAlign w:val="superscript"/>
    </w:rPr>
  </w:style>
  <w:style w:type="character" w:customStyle="1" w:styleId="Symbols">
    <w:name w:val="Symbols"/>
    <w:basedOn w:val="DefaultParagraphFont"/>
    <w:rsid w:val="001309A0"/>
    <w:rPr>
      <w:rFonts w:ascii="Symbol" w:hAnsi="Symbol"/>
    </w:rPr>
  </w:style>
  <w:style w:type="character" w:customStyle="1" w:styleId="MenuOptions">
    <w:name w:val="Menu Options"/>
    <w:basedOn w:val="DefaultParagraphFont"/>
    <w:rsid w:val="001309A0"/>
    <w:rPr>
      <w:rFonts w:ascii="Arial Narrow" w:hAnsi="Arial Narrow"/>
      <w:smallCaps/>
    </w:rPr>
  </w:style>
  <w:style w:type="character" w:customStyle="1" w:styleId="Buttons">
    <w:name w:val="Buttons"/>
    <w:basedOn w:val="DefaultParagraphFont"/>
    <w:rsid w:val="001309A0"/>
    <w:rPr>
      <w:b/>
    </w:rPr>
  </w:style>
  <w:style w:type="character" w:customStyle="1" w:styleId="Underlined">
    <w:name w:val="Underlined"/>
    <w:basedOn w:val="DefaultParagraphFont"/>
    <w:rsid w:val="001309A0"/>
    <w:rPr>
      <w:u w:val="single"/>
    </w:rPr>
  </w:style>
  <w:style w:type="paragraph" w:customStyle="1" w:styleId="TableBodyTextRight">
    <w:name w:val="Table Body Text Right"/>
    <w:basedOn w:val="TableBodyText"/>
    <w:rsid w:val="001309A0"/>
    <w:pPr>
      <w:widowControl w:val="0"/>
      <w:autoSpaceDE w:val="0"/>
      <w:autoSpaceDN w:val="0"/>
      <w:adjustRightInd w:val="0"/>
      <w:jc w:val="right"/>
    </w:pPr>
    <w:rPr>
      <w:rFonts w:cs="Arial"/>
      <w:szCs w:val="18"/>
    </w:rPr>
  </w:style>
  <w:style w:type="paragraph" w:customStyle="1" w:styleId="CopyrightText">
    <w:name w:val="Copyright Text"/>
    <w:basedOn w:val="BodyText"/>
    <w:rsid w:val="001309A0"/>
    <w:rPr>
      <w:sz w:val="18"/>
    </w:rPr>
  </w:style>
  <w:style w:type="paragraph" w:customStyle="1" w:styleId="BodySmallRight">
    <w:name w:val="Body Small Right"/>
    <w:basedOn w:val="BodyTextRight"/>
    <w:rsid w:val="001309A0"/>
    <w:rPr>
      <w:sz w:val="18"/>
      <w:szCs w:val="18"/>
    </w:rPr>
  </w:style>
  <w:style w:type="paragraph" w:customStyle="1" w:styleId="MarginEdition">
    <w:name w:val="Margin Edition"/>
    <w:basedOn w:val="MarginNote"/>
    <w:rsid w:val="001309A0"/>
    <w:pPr>
      <w:spacing w:before="0" w:after="0"/>
    </w:pPr>
    <w:rPr>
      <w:rFonts w:ascii="Times New Roman" w:hAnsi="Times New Roman"/>
      <w:color w:val="999999"/>
    </w:rPr>
  </w:style>
  <w:style w:type="paragraph" w:customStyle="1" w:styleId="Spacer">
    <w:name w:val="Spacer"/>
    <w:basedOn w:val="Normal"/>
    <w:rsid w:val="001309A0"/>
    <w:rPr>
      <w:sz w:val="2"/>
      <w:szCs w:val="2"/>
    </w:rPr>
  </w:style>
  <w:style w:type="character" w:customStyle="1" w:styleId="Small">
    <w:name w:val="Small"/>
    <w:basedOn w:val="DefaultParagraphFont"/>
    <w:rsid w:val="001309A0"/>
    <w:rPr>
      <w:sz w:val="16"/>
    </w:rPr>
  </w:style>
  <w:style w:type="paragraph" w:customStyle="1" w:styleId="WideTable">
    <w:name w:val="Wide Table"/>
    <w:basedOn w:val="Normal"/>
    <w:rsid w:val="001309A0"/>
    <w:pPr>
      <w:ind w:left="-1418"/>
    </w:pPr>
    <w:rPr>
      <w:sz w:val="2"/>
      <w:szCs w:val="2"/>
    </w:rPr>
  </w:style>
  <w:style w:type="character" w:styleId="PageNumber">
    <w:name w:val="page number"/>
    <w:basedOn w:val="DefaultParagraphFont"/>
    <w:rsid w:val="001309A0"/>
  </w:style>
  <w:style w:type="paragraph" w:styleId="Quote">
    <w:name w:val="Quote"/>
    <w:basedOn w:val="Heading1"/>
    <w:link w:val="QuoteChar"/>
    <w:qFormat/>
    <w:rsid w:val="001309A0"/>
    <w:rPr>
      <w:b w:val="0"/>
      <w:sz w:val="72"/>
      <w:szCs w:val="72"/>
      <w:lang w:val="en-NZ"/>
    </w:rPr>
  </w:style>
  <w:style w:type="character" w:customStyle="1" w:styleId="QuoteChar">
    <w:name w:val="Quote Char"/>
    <w:basedOn w:val="DefaultParagraphFont"/>
    <w:link w:val="Quote"/>
    <w:rsid w:val="00130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9A0"/>
    <w:pPr>
      <w:pageBreakBefore/>
    </w:pPr>
  </w:style>
  <w:style w:type="paragraph" w:customStyle="1" w:styleId="Border">
    <w:name w:val="Border"/>
    <w:basedOn w:val="Normal"/>
    <w:qFormat/>
    <w:rsid w:val="00130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9A0"/>
    <w:rPr>
      <w:b/>
      <w:bCs/>
      <w:i/>
      <w:iCs/>
      <w:color w:val="auto"/>
    </w:rPr>
  </w:style>
  <w:style w:type="paragraph" w:styleId="IntenseQuote">
    <w:name w:val="Intense Quote"/>
    <w:basedOn w:val="Normal"/>
    <w:next w:val="Normal"/>
    <w:link w:val="IntenseQuoteChar"/>
    <w:uiPriority w:val="30"/>
    <w:qFormat/>
    <w:rsid w:val="00130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9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09A0"/>
    <w:rPr>
      <w:smallCaps/>
      <w:color w:val="auto"/>
      <w:u w:val="single"/>
    </w:rPr>
  </w:style>
  <w:style w:type="character" w:styleId="IntenseReference">
    <w:name w:val="Intense Reference"/>
    <w:basedOn w:val="DefaultParagraphFont"/>
    <w:uiPriority w:val="32"/>
    <w:qFormat/>
    <w:rsid w:val="001309A0"/>
    <w:rPr>
      <w:b/>
      <w:bCs/>
      <w:smallCaps/>
      <w:color w:val="auto"/>
      <w:spacing w:val="5"/>
      <w:u w:val="single"/>
    </w:rPr>
  </w:style>
  <w:style w:type="paragraph" w:customStyle="1" w:styleId="2ColumnHeading">
    <w:name w:val="2Column Heading"/>
    <w:basedOn w:val="BodyText"/>
    <w:qFormat/>
    <w:rsid w:val="001309A0"/>
    <w:pPr>
      <w:spacing w:after="60"/>
      <w:ind w:left="-2268"/>
    </w:pPr>
    <w:rPr>
      <w:b/>
    </w:rPr>
  </w:style>
  <w:style w:type="paragraph" w:customStyle="1" w:styleId="Heading1TOC">
    <w:name w:val="Heading1 TOC"/>
    <w:basedOn w:val="Normal"/>
    <w:qFormat/>
    <w:rsid w:val="001309A0"/>
    <w:pPr>
      <w:spacing w:before="240" w:after="120"/>
    </w:pPr>
    <w:rPr>
      <w:rFonts w:ascii="Times New Roman" w:hAnsi="Times New Roman"/>
      <w:b/>
      <w:sz w:val="32"/>
    </w:rPr>
  </w:style>
  <w:style w:type="paragraph" w:customStyle="1" w:styleId="Heading2TOC">
    <w:name w:val="Heading2 TOC"/>
    <w:basedOn w:val="Normal"/>
    <w:qFormat/>
    <w:rsid w:val="001309A0"/>
    <w:pPr>
      <w:spacing w:before="240" w:after="60"/>
    </w:pPr>
    <w:rPr>
      <w:rFonts w:ascii="Times New Roman" w:hAnsi="Times New Roman"/>
      <w:b/>
      <w:sz w:val="28"/>
    </w:rPr>
  </w:style>
  <w:style w:type="character" w:customStyle="1" w:styleId="Underline">
    <w:name w:val="Underline"/>
    <w:basedOn w:val="DefaultParagraphFont"/>
    <w:qFormat/>
    <w:rsid w:val="001309A0"/>
    <w:rPr>
      <w:u w:val="single"/>
    </w:rPr>
  </w:style>
  <w:style w:type="character" w:customStyle="1" w:styleId="BoldandItalics">
    <w:name w:val="Bold and Italics"/>
    <w:qFormat/>
    <w:rsid w:val="001309A0"/>
    <w:rPr>
      <w:b/>
      <w:i/>
      <w:u w:val="none"/>
    </w:rPr>
  </w:style>
  <w:style w:type="paragraph" w:styleId="BalloonText">
    <w:name w:val="Balloon Text"/>
    <w:basedOn w:val="Normal"/>
    <w:link w:val="BalloonTextChar"/>
    <w:rsid w:val="001309A0"/>
    <w:rPr>
      <w:rFonts w:ascii="Tahoma" w:hAnsi="Tahoma" w:cs="Tahoma"/>
      <w:sz w:val="16"/>
      <w:szCs w:val="16"/>
    </w:rPr>
  </w:style>
  <w:style w:type="character" w:customStyle="1" w:styleId="BalloonTextChar">
    <w:name w:val="Balloon Text Char"/>
    <w:basedOn w:val="DefaultParagraphFont"/>
    <w:link w:val="BalloonText"/>
    <w:rsid w:val="001309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0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9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832</Words>
  <Characters>5488</Characters>
  <Application>Microsoft Office Word</Application>
  <DocSecurity>0</DocSecurity>
  <Lines>204</Lines>
  <Paragraphs>99</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AHCMOM307A Operate a cane harvester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