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285" w:rsidP="00C43285">
      <w:pPr>
        <w:pStyle w:val="Title"/>
      </w:pPr>
      <w:r>
        <w:fldChar w:fldCharType="begin"/>
      </w:r>
      <w:r>
        <w:instrText xml:space="preserve"> TITLE   \* MERGEFORMAT </w:instrText>
      </w:r>
      <w:r>
        <w:fldChar w:fldCharType="separate"/>
      </w:r>
      <w:r>
        <w:t>AHCLSK201A Assist with feeding in a production system</w:t>
      </w:r>
      <w:r>
        <w:fldChar w:fldCharType="end"/>
      </w:r>
    </w:p>
    <w:p w:rsidR="00C43285" w:rsidP="00C43285">
      <w:pPr>
        <w:pStyle w:val="Version"/>
        <w:sectPr w:rsidSect="00CE7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3B2" w:rsidP="00CE73B2">
      <w:pPr>
        <w:pStyle w:val="SuperHeading"/>
      </w:pPr>
      <w:r w:rsidRPr="00CE73B2">
        <w:t>AHCLSK201A Assist with feeding in a production system</w:t>
      </w:r>
    </w:p>
    <w:p w:rsidR="00000000" w:rsidRPr="00CE73B2" w:rsidP="00CE73B2">
      <w:pPr>
        <w:pStyle w:val="Heading1"/>
      </w:pPr>
      <w:bookmarkStart w:id="1" w:name="O_267913"/>
      <w:bookmarkEnd w:id="1"/>
      <w:r w:rsidRPr="00CE73B2">
        <w:t>Modification History</w:t>
      </w:r>
    </w:p>
    <w:p w:rsidR="00000000" w:rsidRPr="00CE73B2" w:rsidP="00CE73B2">
      <w:pPr>
        <w:pStyle w:val="BodyText"/>
      </w:pPr>
      <w:r w:rsidRPr="00CE73B2">
        <w:t>Not Applicable</w:t>
      </w:r>
    </w:p>
    <w:p w:rsidR="00000000" w:rsidRPr="00CE73B2" w:rsidP="00CE73B2">
      <w:pPr>
        <w:pStyle w:val="AllowPageBreak"/>
      </w:pPr>
    </w:p>
    <w:p w:rsidR="00000000" w:rsidRPr="00CE73B2" w:rsidP="00CE73B2">
      <w:pPr>
        <w:pStyle w:val="Heading1"/>
      </w:pPr>
      <w:bookmarkStart w:id="2" w:name="O_188534"/>
      <w:bookmarkEnd w:id="2"/>
      <w:r w:rsidRPr="00CE73B2">
        <w:t>Unit Descriptor</w:t>
      </w:r>
    </w:p>
    <w:tbl>
      <w:tblPr>
        <w:tblW w:w="0" w:type="auto"/>
        <w:tblLayout w:type="fixed"/>
        <w:tblCellMar>
          <w:left w:w="62" w:type="dxa"/>
          <w:right w:w="62" w:type="dxa"/>
        </w:tblCellMar>
        <w:tblLook w:val="0000"/>
      </w:tblPr>
      <w:tblGrid>
        <w:gridCol w:w="2671"/>
        <w:gridCol w:w="5851"/>
      </w:tblGrid>
      <w:tr w:rsidTr="00C43285">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This unit covers the process of preparing and providing feed and water for livestock in a product</w:t>
            </w:r>
            <w:r w:rsidRPr="00CE73B2">
              <w:t>ion unit and defines the standard required to:  recognise a range of feed types and qualities;  prepare and distribute feed;  check watering systems;  report on feeding to supervisors;  keep basic feeding records.</w:t>
            </w:r>
          </w:p>
        </w:tc>
      </w:tr>
    </w:tbl>
    <w:p w:rsidR="00C43285" w:rsidP="00CE73B2">
      <w:pPr>
        <w:pStyle w:val="BodyText"/>
      </w:pPr>
    </w:p>
    <w:p w:rsidR="00C43285" w:rsidP="00CE73B2">
      <w:pPr>
        <w:pStyle w:val="BodyText"/>
      </w:pPr>
    </w:p>
    <w:p w:rsidR="00000000" w:rsidRPr="00CE73B2" w:rsidP="00CE73B2">
      <w:pPr>
        <w:pStyle w:val="Heading1"/>
      </w:pPr>
      <w:bookmarkStart w:id="3" w:name="O_188538"/>
      <w:bookmarkEnd w:id="3"/>
      <w:r w:rsidRPr="00CE73B2">
        <w:t>Application of the Unit</w:t>
      </w:r>
    </w:p>
    <w:tbl>
      <w:tblPr>
        <w:tblW w:w="0" w:type="auto"/>
        <w:tblLayout w:type="fixed"/>
        <w:tblCellMar>
          <w:left w:w="62" w:type="dxa"/>
          <w:right w:w="62" w:type="dxa"/>
        </w:tblCellMar>
        <w:tblLook w:val="0000"/>
      </w:tblPr>
      <w:tblGrid>
        <w:gridCol w:w="2756"/>
        <w:gridCol w:w="5766"/>
      </w:tblGrid>
      <w:tr w:rsidTr="00C4328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This unit applies to working under close supervision with regular checking within enterprise guidelines.</w:t>
            </w:r>
          </w:p>
        </w:tc>
      </w:tr>
    </w:tbl>
    <w:p w:rsidR="00C43285" w:rsidP="00CE73B2">
      <w:pPr>
        <w:pStyle w:val="BodyText"/>
      </w:pPr>
    </w:p>
    <w:p w:rsidR="00C43285" w:rsidP="00CE73B2">
      <w:pPr>
        <w:pStyle w:val="BodyText"/>
      </w:pPr>
    </w:p>
    <w:p w:rsidR="00000000" w:rsidRPr="00CE73B2" w:rsidP="00CE73B2">
      <w:pPr>
        <w:pStyle w:val="Heading1"/>
      </w:pPr>
      <w:bookmarkStart w:id="4" w:name="O_276173"/>
      <w:bookmarkEnd w:id="4"/>
      <w:r w:rsidRPr="00CE73B2">
        <w:t>Licensing/Regulatory Information</w:t>
      </w:r>
    </w:p>
    <w:p w:rsidR="00000000" w:rsidRPr="00CE73B2" w:rsidP="00CE73B2">
      <w:pPr>
        <w:pStyle w:val="BodyText"/>
      </w:pPr>
      <w:r w:rsidRPr="00CE73B2">
        <w:t>Not Applicable</w:t>
      </w:r>
    </w:p>
    <w:p w:rsidR="00000000" w:rsidRPr="00CE73B2" w:rsidP="00CE73B2">
      <w:pPr>
        <w:pStyle w:val="AllowPageBreak"/>
      </w:pPr>
    </w:p>
    <w:p w:rsidR="00000000" w:rsidRPr="00CE73B2" w:rsidP="00CE73B2">
      <w:pPr>
        <w:pStyle w:val="Heading1"/>
      </w:pPr>
      <w:bookmarkStart w:id="5" w:name="O_188536"/>
      <w:bookmarkEnd w:id="5"/>
      <w:r w:rsidRPr="00CE73B2">
        <w:t>Pre-Requisites</w:t>
      </w:r>
    </w:p>
    <w:tbl>
      <w:tblPr>
        <w:tblW w:w="0" w:type="auto"/>
        <w:tblLayout w:type="fixed"/>
        <w:tblCellMar>
          <w:left w:w="62" w:type="dxa"/>
          <w:right w:w="62" w:type="dxa"/>
        </w:tblCellMar>
        <w:tblLook w:val="0000"/>
      </w:tblPr>
      <w:tblGrid>
        <w:gridCol w:w="2775"/>
        <w:gridCol w:w="1295"/>
        <w:gridCol w:w="4452"/>
      </w:tblGrid>
      <w:tr w:rsidTr="00C432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p>
        </w:tc>
      </w:tr>
    </w:tbl>
    <w:p w:rsidR="00C43285" w:rsidP="00CE73B2">
      <w:pPr>
        <w:pStyle w:val="BodyText"/>
      </w:pPr>
    </w:p>
    <w:p w:rsidR="00C43285" w:rsidP="00CE73B2">
      <w:pPr>
        <w:pStyle w:val="BodyText"/>
      </w:pPr>
    </w:p>
    <w:p w:rsidR="00000000" w:rsidRPr="00CE73B2" w:rsidP="00CE73B2">
      <w:pPr>
        <w:pStyle w:val="Heading1"/>
      </w:pPr>
      <w:bookmarkStart w:id="6" w:name="O_188535"/>
      <w:bookmarkEnd w:id="6"/>
      <w:r w:rsidRPr="00CE73B2">
        <w:t>Employability Skills Information</w:t>
      </w:r>
    </w:p>
    <w:tbl>
      <w:tblPr>
        <w:tblW w:w="0" w:type="auto"/>
        <w:tblLayout w:type="fixed"/>
        <w:tblCellMar>
          <w:left w:w="62" w:type="dxa"/>
          <w:right w:w="62" w:type="dxa"/>
        </w:tblCellMar>
        <w:tblLook w:val="0000"/>
      </w:tblPr>
      <w:tblGrid>
        <w:gridCol w:w="2802"/>
        <w:gridCol w:w="5720"/>
      </w:tblGrid>
      <w:tr w:rsidTr="00C432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This unit contains employability skills.</w:t>
            </w:r>
          </w:p>
        </w:tc>
      </w:tr>
    </w:tbl>
    <w:p w:rsidR="00C43285" w:rsidP="00CE73B2">
      <w:pPr>
        <w:pStyle w:val="BodyText"/>
      </w:pPr>
    </w:p>
    <w:p w:rsidR="00C43285" w:rsidP="00CE73B2">
      <w:pPr>
        <w:pStyle w:val="BodyText"/>
      </w:pPr>
    </w:p>
    <w:p w:rsidR="00000000" w:rsidRPr="00CE73B2" w:rsidP="00CE73B2">
      <w:pPr>
        <w:pStyle w:val="Heading1"/>
      </w:pPr>
      <w:bookmarkStart w:id="7" w:name="O_285959"/>
      <w:bookmarkEnd w:id="7"/>
      <w:r w:rsidRPr="00CE73B2">
        <w:t>Elements and Performance Criteria Pre-Content</w:t>
      </w:r>
    </w:p>
    <w:p w:rsidR="00000000" w:rsidRPr="00CE73B2" w:rsidP="00CE73B2">
      <w:pPr>
        <w:pStyle w:val="BodyText"/>
      </w:pPr>
      <w:r w:rsidRPr="00CE73B2">
        <w:t>Not Applicable</w:t>
      </w:r>
    </w:p>
    <w:p w:rsidR="00000000" w:rsidRPr="00CE73B2" w:rsidP="00CE73B2">
      <w:pPr>
        <w:pStyle w:val="AllowPageBreak"/>
      </w:pPr>
    </w:p>
    <w:p w:rsidR="00000000" w:rsidRPr="00CE73B2" w:rsidP="00CE73B2">
      <w:pPr>
        <w:pStyle w:val="Heading1"/>
      </w:pPr>
      <w:bookmarkStart w:id="8" w:name="O_232626"/>
      <w:bookmarkEnd w:id="8"/>
      <w:r w:rsidRPr="00CE73B2">
        <w:t>Elements and Performance Criteria</w:t>
      </w:r>
    </w:p>
    <w:tbl>
      <w:tblPr>
        <w:tblW w:w="0" w:type="auto"/>
        <w:tblLayout w:type="fixed"/>
        <w:tblCellMar>
          <w:left w:w="62" w:type="dxa"/>
          <w:right w:w="62" w:type="dxa"/>
        </w:tblCellMar>
        <w:tblLook w:val="0000"/>
      </w:tblPr>
      <w:tblGrid>
        <w:gridCol w:w="2522"/>
        <w:gridCol w:w="6000"/>
      </w:tblGrid>
      <w:tr w:rsidTr="00C43285">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PERFORMANCE CRITERIA</w:t>
            </w:r>
          </w:p>
        </w:tc>
      </w:tr>
      <w:tr w:rsidTr="00C43285">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List"/>
              <w:rPr>
                <w:lang w:val="en-NZ"/>
              </w:rPr>
            </w:pPr>
            <w:r w:rsidRPr="00CE73B2">
              <w:t>1.</w:t>
            </w:r>
            <w:r w:rsidRPr="00CE73B2">
              <w:tab/>
              <w:t>Get and distribute feed</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2"/>
            </w:pPr>
            <w:r w:rsidRPr="00CE73B2">
              <w:t>1.1.</w:t>
            </w:r>
            <w:r w:rsidRPr="00CE73B2">
              <w:tab/>
              <w:t>Daily feeding program for livestock is checked with supervisor.</w:t>
            </w:r>
          </w:p>
          <w:p w:rsidR="00000000" w:rsidRPr="00CE73B2" w:rsidP="00CE73B2">
            <w:pPr>
              <w:pStyle w:val="List2"/>
            </w:pPr>
            <w:r w:rsidRPr="00CE73B2">
              <w:t>1.2.</w:t>
            </w:r>
            <w:r w:rsidRPr="00CE73B2">
              <w:tab/>
              <w:t>Occu</w:t>
            </w:r>
            <w:r w:rsidRPr="00CE73B2">
              <w:t>pational Health and Safety (OHS) hazards are identified, risk assessed and suitable controls implemented.</w:t>
            </w:r>
          </w:p>
          <w:p w:rsidR="00000000" w:rsidRPr="00CE73B2" w:rsidP="00CE73B2">
            <w:pPr>
              <w:pStyle w:val="List2"/>
            </w:pPr>
            <w:r w:rsidRPr="00CE73B2">
              <w:t>1.3.</w:t>
            </w:r>
            <w:r w:rsidRPr="00CE73B2">
              <w:tab/>
              <w:t>Suitable personal protective equipment is selected, used and maintained.</w:t>
            </w:r>
          </w:p>
          <w:p w:rsidR="00000000" w:rsidRPr="00CE73B2" w:rsidP="00CE73B2">
            <w:pPr>
              <w:pStyle w:val="List2"/>
            </w:pPr>
            <w:r w:rsidRPr="00CE73B2">
              <w:t>1.4.</w:t>
            </w:r>
            <w:r w:rsidRPr="00CE73B2">
              <w:tab/>
              <w:t>Assistance is provided for weighing and measuring feed.</w:t>
            </w:r>
          </w:p>
          <w:p w:rsidR="00000000" w:rsidRPr="00CE73B2" w:rsidP="00CE73B2">
            <w:pPr>
              <w:pStyle w:val="List2"/>
            </w:pPr>
            <w:r w:rsidRPr="00CE73B2">
              <w:t>1.5.</w:t>
            </w:r>
            <w:r w:rsidRPr="00CE73B2">
              <w:tab/>
              <w:t>Feed i</w:t>
            </w:r>
            <w:r w:rsidRPr="00CE73B2">
              <w:t>s loaded into trolleys from silos or other storage bins and distributed, or where used, automatic/computerised feeders are checked for blockages and correct functioning.</w:t>
            </w:r>
          </w:p>
          <w:p w:rsidR="00000000" w:rsidRPr="00CE73B2" w:rsidP="00CE73B2">
            <w:pPr>
              <w:pStyle w:val="List2"/>
            </w:pPr>
            <w:r w:rsidRPr="00CE73B2">
              <w:t>1.6.</w:t>
            </w:r>
            <w:r w:rsidRPr="00CE73B2">
              <w:tab/>
              <w:t>Supervisors are notified of any abnormalities or irregularities with feed stocks.</w:t>
            </w:r>
          </w:p>
          <w:p w:rsidR="00000000" w:rsidP="00CE73B2">
            <w:pPr>
              <w:pStyle w:val="List2"/>
              <w:rPr>
                <w:lang w:val="en-NZ"/>
              </w:rPr>
            </w:pPr>
            <w:r w:rsidRPr="00CE73B2">
              <w:t>1.7.</w:t>
            </w:r>
            <w:r w:rsidRPr="00CE73B2">
              <w:tab/>
              <w:t>Tools, machinery and equipment are maintained and stored after use.</w:t>
            </w:r>
          </w:p>
        </w:tc>
      </w:tr>
      <w:tr w:rsidTr="00C43285">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List"/>
              <w:rPr>
                <w:lang w:val="en-NZ"/>
              </w:rPr>
            </w:pPr>
            <w:r w:rsidRPr="00CE73B2">
              <w:t>2.</w:t>
            </w:r>
            <w:r w:rsidRPr="00CE73B2">
              <w:tab/>
              <w:t>Check watering systems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2"/>
            </w:pPr>
            <w:r w:rsidRPr="00CE73B2">
              <w:t>2.1.</w:t>
            </w:r>
            <w:r w:rsidRPr="00CE73B2">
              <w:tab/>
              <w:t>Where appropriate, watering systems are adjusted for height or position.</w:t>
            </w:r>
          </w:p>
          <w:p w:rsidR="00000000" w:rsidRPr="00CE73B2" w:rsidP="00CE73B2">
            <w:pPr>
              <w:pStyle w:val="List2"/>
            </w:pPr>
            <w:r w:rsidRPr="00CE73B2">
              <w:t>2.2.</w:t>
            </w:r>
            <w:r w:rsidRPr="00CE73B2">
              <w:tab/>
              <w:t>Water flow is checked and adjustments are made accordingly.</w:t>
            </w:r>
          </w:p>
          <w:p w:rsidR="00000000" w:rsidP="00CE73B2">
            <w:pPr>
              <w:pStyle w:val="List2"/>
              <w:rPr>
                <w:lang w:val="en-NZ"/>
              </w:rPr>
            </w:pPr>
            <w:r w:rsidRPr="00CE73B2">
              <w:t>2.3.</w:t>
            </w:r>
            <w:r w:rsidRPr="00CE73B2">
              <w:tab/>
              <w:t>Waterin</w:t>
            </w:r>
            <w:r w:rsidRPr="00CE73B2">
              <w:t>g containers or lines are emptied and cleaned where necessary.</w:t>
            </w:r>
          </w:p>
        </w:tc>
      </w:tr>
      <w:tr w:rsidTr="00C43285">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List"/>
              <w:rPr>
                <w:lang w:val="en-NZ"/>
              </w:rPr>
            </w:pPr>
            <w:r w:rsidRPr="00CE73B2">
              <w:t>3.</w:t>
            </w:r>
            <w:r w:rsidRPr="00CE73B2">
              <w:tab/>
              <w:t>Keep workplace record</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2"/>
            </w:pPr>
            <w:r w:rsidRPr="00CE73B2">
              <w:t>3.1.</w:t>
            </w:r>
            <w:r w:rsidRPr="00CE73B2">
              <w:tab/>
              <w:t>Basic feeding records are kept and supervisor informed.</w:t>
            </w:r>
          </w:p>
        </w:tc>
      </w:tr>
    </w:tbl>
    <w:p w:rsidR="00C43285" w:rsidP="00CE73B2">
      <w:pPr>
        <w:pStyle w:val="BodyText"/>
      </w:pPr>
    </w:p>
    <w:p w:rsidR="00C43285" w:rsidP="00CE73B2">
      <w:pPr>
        <w:pStyle w:val="BodyText"/>
      </w:pPr>
    </w:p>
    <w:p w:rsidR="00000000" w:rsidRPr="00CE73B2" w:rsidP="00CE73B2">
      <w:pPr>
        <w:pStyle w:val="Heading1"/>
      </w:pPr>
      <w:bookmarkStart w:id="9" w:name="O_256576"/>
      <w:bookmarkEnd w:id="9"/>
      <w:r w:rsidRPr="00CE73B2">
        <w:t>Required Skills and Knowledge</w:t>
      </w:r>
    </w:p>
    <w:tbl>
      <w:tblPr>
        <w:tblW w:w="0" w:type="auto"/>
        <w:tblLayout w:type="fixed"/>
        <w:tblCellMar>
          <w:left w:w="62" w:type="dxa"/>
          <w:right w:w="62" w:type="dxa"/>
        </w:tblCellMar>
        <w:tblLook w:val="0000"/>
      </w:tblPr>
      <w:tblGrid>
        <w:gridCol w:w="8522"/>
      </w:tblGrid>
      <w:tr w:rsidTr="00C432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REQUIRED SKILLS AND KNOWLEDGE</w:t>
            </w:r>
          </w:p>
        </w:tc>
      </w:tr>
      <w:tr w:rsidTr="00C432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t>This section describes the skills and knowledge required for this unit.</w:t>
            </w:r>
          </w:p>
        </w:tc>
      </w:tr>
      <w:tr w:rsidTr="00C432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Required skills</w:t>
            </w:r>
          </w:p>
        </w:tc>
      </w:tr>
      <w:tr w:rsidTr="00C432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Bullet"/>
            </w:pPr>
            <w:r w:rsidRPr="00CE73B2">
              <w:t>identify hazards and follow safety directions</w:t>
            </w:r>
          </w:p>
          <w:p w:rsidR="00000000" w:rsidRPr="00CE73B2" w:rsidP="00CE73B2">
            <w:pPr>
              <w:pStyle w:val="ListBullet"/>
            </w:pPr>
            <w:r w:rsidRPr="00CE73B2">
              <w:t>identify a range of feed types and qualities</w:t>
            </w:r>
          </w:p>
          <w:p w:rsidR="00000000" w:rsidRPr="00CE73B2" w:rsidP="00CE73B2">
            <w:pPr>
              <w:pStyle w:val="ListBullet"/>
            </w:pPr>
            <w:r w:rsidRPr="00CE73B2">
              <w:t xml:space="preserve">identify grain contaminants </w:t>
            </w:r>
          </w:p>
          <w:p w:rsidR="00000000" w:rsidRPr="00CE73B2" w:rsidP="00CE73B2">
            <w:pPr>
              <w:pStyle w:val="ListBullet"/>
            </w:pPr>
            <w:r w:rsidRPr="00CE73B2">
              <w:t xml:space="preserve">recognise and rectify minor operational faults </w:t>
            </w:r>
          </w:p>
          <w:p w:rsidR="00000000" w:rsidRPr="00CE73B2" w:rsidP="00CE73B2">
            <w:pPr>
              <w:pStyle w:val="ListBullet"/>
            </w:pPr>
            <w:r w:rsidRPr="00CE73B2">
              <w:t>read and interpret manufacturers specifications, work and maintenance plans, and Material Safety Data Sheets (MSDS)</w:t>
            </w:r>
          </w:p>
          <w:p w:rsidR="00000000" w:rsidRPr="00CE73B2" w:rsidP="00CE73B2">
            <w:pPr>
              <w:pStyle w:val="ListBullet"/>
            </w:pPr>
            <w:r w:rsidRPr="00CE73B2">
              <w:t>interpret and apply task instructions, communicate with work team and supervisor, and record</w:t>
            </w:r>
            <w:r w:rsidRPr="00CE73B2">
              <w:t xml:space="preserve"> and report faults, workplace hazards and accidents </w:t>
            </w:r>
          </w:p>
          <w:p w:rsidR="00000000" w:rsidRPr="00CE73B2" w:rsidP="00CE73B2">
            <w:pPr>
              <w:pStyle w:val="ListBullet"/>
            </w:pPr>
            <w:r w:rsidRPr="00CE73B2">
              <w:t xml:space="preserve">complete records and documentation of feed use and volumes for the shed </w:t>
            </w:r>
          </w:p>
          <w:p w:rsidR="00000000" w:rsidRPr="00CE73B2" w:rsidP="00CE73B2">
            <w:pPr>
              <w:pStyle w:val="ListBullet"/>
            </w:pPr>
            <w:r w:rsidRPr="00CE73B2">
              <w:t>use machinery and equipment associated with providing feed</w:t>
            </w:r>
          </w:p>
          <w:p w:rsidR="00000000" w:rsidRPr="00CE73B2" w:rsidP="00CE73B2">
            <w:pPr>
              <w:pStyle w:val="ListBullet"/>
            </w:pPr>
            <w:r w:rsidRPr="00CE73B2">
              <w:t>use numeracy skills to estimate, calculate and record routine workplace</w:t>
            </w:r>
            <w:r w:rsidRPr="00CE73B2">
              <w:t xml:space="preserve"> measures</w:t>
            </w:r>
          </w:p>
          <w:p w:rsidR="00000000" w:rsidP="00CE73B2">
            <w:pPr>
              <w:pStyle w:val="ListBullet"/>
              <w:rPr>
                <w:lang w:val="en-NZ"/>
              </w:rPr>
            </w:pPr>
            <w:r w:rsidRPr="00CE73B2">
              <w:t>use interpersonal skills to relate to people from a range of social, cultural and ethnic backgrounds and with a range of physical and mental abilities.</w:t>
            </w:r>
          </w:p>
        </w:tc>
      </w:tr>
      <w:tr w:rsidTr="00C432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Required knowledge</w:t>
            </w:r>
          </w:p>
        </w:tc>
      </w:tr>
      <w:tr w:rsidTr="00C432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Bullet"/>
            </w:pPr>
            <w:r w:rsidRPr="00CE73B2">
              <w:t>silo operations, tractors and associated feeding machinery and equipment</w:t>
            </w:r>
            <w:r w:rsidRPr="00CE73B2">
              <w:t xml:space="preserve"> </w:t>
            </w:r>
          </w:p>
          <w:p w:rsidR="00000000" w:rsidRPr="00CE73B2" w:rsidP="00CE73B2">
            <w:pPr>
              <w:pStyle w:val="ListBullet"/>
            </w:pPr>
            <w:r w:rsidRPr="00CE73B2">
              <w:t xml:space="preserve">cleaning and storage of machinery, equipment and materials </w:t>
            </w:r>
          </w:p>
          <w:p w:rsidR="00000000" w:rsidRPr="00CE73B2" w:rsidP="00CE73B2">
            <w:pPr>
              <w:pStyle w:val="ListBullet"/>
            </w:pPr>
            <w:r w:rsidRPr="00CE73B2">
              <w:t>enterprise recording and reporting procedures</w:t>
            </w:r>
          </w:p>
          <w:p w:rsidR="00000000" w:rsidRPr="00CE73B2" w:rsidP="00CE73B2">
            <w:pPr>
              <w:pStyle w:val="ListBullet"/>
            </w:pPr>
            <w:r w:rsidRPr="00CE73B2">
              <w:t xml:space="preserve">grains, meals, pelleted and liquid feeds </w:t>
            </w:r>
          </w:p>
          <w:p w:rsidR="00000000" w:rsidRPr="00CE73B2" w:rsidP="00CE73B2">
            <w:pPr>
              <w:pStyle w:val="ListBullet"/>
            </w:pPr>
            <w:r w:rsidRPr="00CE73B2">
              <w:t>evidence of spoilage and handling spoilt feeds</w:t>
            </w:r>
          </w:p>
          <w:p w:rsidR="00000000" w:rsidRPr="00CE73B2" w:rsidP="00CE73B2">
            <w:pPr>
              <w:pStyle w:val="ListBullet"/>
            </w:pPr>
            <w:r w:rsidRPr="00CE73B2">
              <w:t>legislation and workplace procedures for OHS, animal welfare and environmental management.</w:t>
            </w:r>
          </w:p>
        </w:tc>
      </w:tr>
    </w:tbl>
    <w:p w:rsidR="00C43285" w:rsidP="00CE73B2">
      <w:pPr>
        <w:pStyle w:val="BodyText"/>
      </w:pPr>
    </w:p>
    <w:p w:rsidR="00C43285" w:rsidP="00CE73B2">
      <w:pPr>
        <w:pStyle w:val="BodyText"/>
      </w:pPr>
    </w:p>
    <w:p w:rsidR="00000000" w:rsidRPr="00CE73B2" w:rsidP="00CE73B2">
      <w:pPr>
        <w:pStyle w:val="AllowPageBreak"/>
      </w:pPr>
    </w:p>
    <w:p w:rsidR="00000000" w:rsidRPr="00CE73B2" w:rsidP="00CE73B2">
      <w:pPr>
        <w:pStyle w:val="Heading1"/>
      </w:pPr>
      <w:bookmarkStart w:id="10" w:name="O_240610"/>
      <w:bookmarkEnd w:id="10"/>
      <w:r w:rsidRPr="00CE73B2">
        <w:t>Evidence Guide</w:t>
      </w:r>
    </w:p>
    <w:tbl>
      <w:tblPr>
        <w:tblW w:w="9570" w:type="dxa"/>
        <w:tblLayout w:type="fixed"/>
        <w:tblCellMar>
          <w:left w:w="62" w:type="dxa"/>
          <w:right w:w="62" w:type="dxa"/>
        </w:tblCellMar>
        <w:tblLook w:val="0000"/>
      </w:tblPr>
      <w:tblGrid>
        <w:gridCol w:w="3908"/>
        <w:gridCol w:w="5662"/>
      </w:tblGrid>
      <w:tr w:rsidTr="00C432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EVIDENCE GUIDE</w:t>
            </w:r>
          </w:p>
        </w:tc>
      </w:tr>
      <w:tr w:rsidTr="00C432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t>The evidence guide provides advice on assessment and must be read in conjunction with the performance criteria, required skills and knowledge, range statement and the Assessment Guidelines for the Training Package.</w:t>
            </w:r>
          </w:p>
        </w:tc>
      </w:tr>
      <w:tr w:rsidTr="00C432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Cri</w:t>
            </w:r>
            <w:r w:rsidRPr="00CE73B2">
              <w:rPr>
                <w:rStyle w:val="SpecialBold"/>
              </w:rPr>
              <w:t>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The evidence required to demonstrate competency in this unit must be relevant to workplace operations and satisfy holistically all of the requirements of the performa</w:t>
            </w:r>
            <w:r w:rsidRPr="00CE73B2">
              <w:t xml:space="preserve">nce criteria and required skills and knowledge and include achievement of the following: </w:t>
            </w:r>
          </w:p>
          <w:p w:rsidR="00000000" w:rsidRPr="00CE73B2" w:rsidP="00CE73B2">
            <w:pPr>
              <w:pStyle w:val="ListBullet"/>
            </w:pPr>
            <w:r w:rsidRPr="00CE73B2">
              <w:t>recognise a range of feed types and qualities</w:t>
            </w:r>
          </w:p>
          <w:p w:rsidR="00000000" w:rsidRPr="00CE73B2" w:rsidP="00CE73B2">
            <w:pPr>
              <w:pStyle w:val="ListBullet"/>
            </w:pPr>
            <w:r w:rsidRPr="00CE73B2">
              <w:t>prepare and distribute feed</w:t>
            </w:r>
          </w:p>
          <w:p w:rsidR="00000000" w:rsidRPr="00CE73B2" w:rsidP="00CE73B2">
            <w:pPr>
              <w:pStyle w:val="ListBullet"/>
            </w:pPr>
            <w:r w:rsidRPr="00CE73B2">
              <w:t>check watering systems</w:t>
            </w:r>
          </w:p>
          <w:p w:rsidR="00000000" w:rsidRPr="00CE73B2" w:rsidP="00CE73B2">
            <w:pPr>
              <w:pStyle w:val="ListBullet"/>
            </w:pPr>
            <w:r w:rsidRPr="00CE73B2">
              <w:t>report on feeding to supervisors</w:t>
            </w:r>
          </w:p>
          <w:p w:rsidR="00000000" w:rsidP="00CE73B2">
            <w:pPr>
              <w:pStyle w:val="ListBullet"/>
              <w:rPr>
                <w:lang w:val="en-NZ"/>
              </w:rPr>
            </w:pPr>
            <w:r w:rsidRPr="00CE73B2">
              <w:t>keep basic feeding records.</w:t>
            </w:r>
          </w:p>
        </w:tc>
      </w:tr>
      <w:tr w:rsidTr="00C432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Competency requires the application of work practices under work conditions.  Selection and use of resources for some worksites may differ due to the regional or enterprise circumstances.</w:t>
            </w:r>
          </w:p>
        </w:tc>
      </w:tr>
    </w:tbl>
    <w:p w:rsidR="00C43285" w:rsidP="00CE73B2">
      <w:pPr>
        <w:pStyle w:val="BodyText"/>
      </w:pPr>
    </w:p>
    <w:p w:rsidR="00C43285" w:rsidP="00CE73B2">
      <w:pPr>
        <w:pStyle w:val="BodyText"/>
      </w:pPr>
    </w:p>
    <w:p w:rsidR="00000000" w:rsidRPr="00CE73B2" w:rsidP="00CE73B2">
      <w:pPr>
        <w:pStyle w:val="Heading1"/>
      </w:pPr>
      <w:bookmarkStart w:id="11" w:name="O_248593"/>
      <w:bookmarkEnd w:id="11"/>
      <w:r w:rsidRPr="00CE73B2">
        <w:t>Range Statement</w:t>
      </w:r>
    </w:p>
    <w:tbl>
      <w:tblPr>
        <w:tblW w:w="0" w:type="auto"/>
        <w:tblLayout w:type="fixed"/>
        <w:tblCellMar>
          <w:left w:w="62" w:type="dxa"/>
          <w:right w:w="62" w:type="dxa"/>
        </w:tblCellMar>
        <w:tblLook w:val="0000"/>
      </w:tblPr>
      <w:tblGrid>
        <w:gridCol w:w="3494"/>
        <w:gridCol w:w="5028"/>
      </w:tblGrid>
      <w:tr w:rsidTr="00C432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RANGE STATEMENT</w:t>
            </w:r>
          </w:p>
        </w:tc>
      </w:tr>
      <w:tr w:rsidTr="00C432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t>The range statement relates to the unit of competency as a whole.</w:t>
            </w:r>
          </w:p>
        </w:tc>
      </w:tr>
      <w:tr w:rsidTr="00C4328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t>Livestock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ListBullet"/>
            </w:pPr>
            <w:r w:rsidRPr="00CE73B2">
              <w:t>pigs</w:t>
            </w:r>
          </w:p>
          <w:p w:rsidR="00000000" w:rsidRPr="00CE73B2" w:rsidP="00CE73B2">
            <w:pPr>
              <w:pStyle w:val="ListBullet"/>
            </w:pPr>
            <w:r w:rsidRPr="00CE73B2">
              <w:t>poultry</w:t>
            </w:r>
          </w:p>
          <w:p w:rsidR="00000000" w:rsidRPr="00CE73B2" w:rsidP="00CE73B2">
            <w:pPr>
              <w:pStyle w:val="ListBullet"/>
            </w:pPr>
            <w:r w:rsidRPr="00CE73B2">
              <w:t>shedded sheep</w:t>
            </w:r>
          </w:p>
          <w:p w:rsidR="00000000" w:rsidRPr="00CE73B2" w:rsidP="00CE73B2">
            <w:pPr>
              <w:pStyle w:val="ListBullet"/>
            </w:pPr>
            <w:r w:rsidRPr="00CE73B2">
              <w:t>feedlot and dairy cattle.</w:t>
            </w:r>
          </w:p>
        </w:tc>
      </w:tr>
    </w:tbl>
    <w:p w:rsidR="00C43285" w:rsidP="00CE73B2">
      <w:pPr>
        <w:pStyle w:val="BodyText"/>
      </w:pPr>
    </w:p>
    <w:p w:rsidR="00C43285" w:rsidP="00CE73B2">
      <w:pPr>
        <w:pStyle w:val="BodyText"/>
      </w:pPr>
    </w:p>
    <w:p w:rsidR="00000000" w:rsidRPr="00CE73B2" w:rsidP="00CE73B2">
      <w:pPr>
        <w:pStyle w:val="Heading1"/>
      </w:pPr>
      <w:bookmarkStart w:id="12" w:name="O_188540"/>
      <w:bookmarkEnd w:id="12"/>
      <w:r w:rsidRPr="00CE73B2">
        <w:t>Unit Sector(s)</w:t>
      </w:r>
    </w:p>
    <w:tbl>
      <w:tblPr>
        <w:tblW w:w="0" w:type="auto"/>
        <w:tblLayout w:type="fixed"/>
        <w:tblCellMar>
          <w:left w:w="62" w:type="dxa"/>
          <w:right w:w="62" w:type="dxa"/>
        </w:tblCellMar>
        <w:tblLook w:val="0000"/>
      </w:tblPr>
      <w:tblGrid>
        <w:gridCol w:w="2613"/>
        <w:gridCol w:w="5909"/>
      </w:tblGrid>
      <w:tr w:rsidTr="00C43285">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r w:rsidRPr="00CE73B2">
              <w:t>Livestock</w:t>
            </w:r>
          </w:p>
        </w:tc>
      </w:tr>
    </w:tbl>
    <w:p w:rsidR="00C43285" w:rsidP="00CE73B2">
      <w:pPr>
        <w:pStyle w:val="BodyText"/>
      </w:pPr>
    </w:p>
    <w:p w:rsidR="00C43285" w:rsidP="00CE73B2">
      <w:pPr>
        <w:pStyle w:val="BodyText"/>
      </w:pPr>
    </w:p>
    <w:p w:rsidR="00000000" w:rsidRPr="00CE73B2" w:rsidP="00CE73B2">
      <w:pPr>
        <w:pStyle w:val="Heading1"/>
      </w:pPr>
      <w:bookmarkStart w:id="13" w:name="O_188537"/>
      <w:bookmarkEnd w:id="13"/>
      <w:r w:rsidRPr="00CE73B2">
        <w:t>Co-requisite units</w:t>
      </w:r>
    </w:p>
    <w:tbl>
      <w:tblPr>
        <w:tblW w:w="0" w:type="auto"/>
        <w:tblLayout w:type="fixed"/>
        <w:tblCellMar>
          <w:left w:w="62" w:type="dxa"/>
          <w:right w:w="62" w:type="dxa"/>
        </w:tblCellMar>
        <w:tblLook w:val="0000"/>
      </w:tblPr>
      <w:tblGrid>
        <w:gridCol w:w="2641"/>
        <w:gridCol w:w="1322"/>
        <w:gridCol w:w="4559"/>
      </w:tblGrid>
      <w:tr w:rsidTr="00C432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p>
        </w:tc>
      </w:tr>
      <w:tr w:rsidTr="00C432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p>
        </w:tc>
      </w:tr>
    </w:tbl>
    <w:p w:rsidR="00C43285" w:rsidP="00CE73B2">
      <w:pPr>
        <w:pStyle w:val="BodyText"/>
      </w:pPr>
    </w:p>
    <w:p w:rsidR="00C43285" w:rsidP="00CE73B2">
      <w:pPr>
        <w:pStyle w:val="BodyText"/>
      </w:pPr>
    </w:p>
    <w:p w:rsidR="00000000" w:rsidRPr="00CE73B2" w:rsidP="00CE73B2">
      <w:pPr>
        <w:pStyle w:val="Heading1"/>
      </w:pPr>
      <w:bookmarkStart w:id="14" w:name="O_188539"/>
      <w:bookmarkEnd w:id="14"/>
      <w:r w:rsidRPr="00CE73B2">
        <w:t>Competency field</w:t>
      </w:r>
    </w:p>
    <w:tbl>
      <w:tblPr>
        <w:tblW w:w="0" w:type="auto"/>
        <w:tblLayout w:type="fixed"/>
        <w:tblCellMar>
          <w:left w:w="62" w:type="dxa"/>
          <w:right w:w="62" w:type="dxa"/>
        </w:tblCellMar>
        <w:tblLook w:val="0000"/>
      </w:tblPr>
      <w:tblGrid>
        <w:gridCol w:w="2784"/>
        <w:gridCol w:w="5738"/>
      </w:tblGrid>
      <w:tr w:rsidTr="00C432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3B2">
            <w:pPr>
              <w:pStyle w:val="BodyText"/>
              <w:rPr>
                <w:lang w:val="en-NZ"/>
              </w:rPr>
            </w:pPr>
            <w:r w:rsidRPr="00CE73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3B2" w:rsidP="00CE73B2">
            <w:pPr>
              <w:pStyle w:val="BodyText"/>
            </w:pPr>
          </w:p>
        </w:tc>
      </w:tr>
    </w:tbl>
    <w:p w:rsidR="00C43285" w:rsidP="00CE73B2">
      <w:pPr>
        <w:pStyle w:val="BodyText"/>
      </w:pPr>
    </w:p>
    <w:p w:rsidR="00C43285" w:rsidP="00CE73B2">
      <w:pPr>
        <w:pStyle w:val="BodyText"/>
      </w:pPr>
    </w:p>
    <w:p w:rsidR="00000000" w:rsidRPr="00CE73B2" w:rsidP="00CE73B2"/>
    <w:sectPr w:rsidSect="00CE7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285" w:rsidP="00C43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85" w:rsidP="00CE7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3285" w:rsidP="00CE7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43285" w:rsidP="00CE7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285" w:rsidP="00C4328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85" w:rsidP="00CE73B2">
    <w:pPr>
      <w:pStyle w:val="Header"/>
      <w:framePr w:wrap="around"/>
    </w:pPr>
    <w:r>
      <w:fldChar w:fldCharType="begin"/>
    </w:r>
    <w:r>
      <w:instrText xml:space="preserve"> TITLE   \* MERGEFORMAT </w:instrText>
    </w:r>
    <w:r>
      <w:fldChar w:fldCharType="separate"/>
    </w:r>
    <w:r>
      <w:t>AHCLSK201A Assist with feeding in a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3285" w:rsidP="00CE73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2E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283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3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73B2"/>
    <w:pPr>
      <w:spacing w:before="360" w:after="60"/>
      <w:outlineLvl w:val="0"/>
    </w:pPr>
    <w:rPr>
      <w:sz w:val="32"/>
    </w:rPr>
  </w:style>
  <w:style w:type="paragraph" w:styleId="Heading2">
    <w:name w:val="heading 2"/>
    <w:basedOn w:val="HeadingBase"/>
    <w:next w:val="BodyText"/>
    <w:link w:val="Heading2Char"/>
    <w:qFormat/>
    <w:rsid w:val="00CE73B2"/>
    <w:pPr>
      <w:keepLines/>
      <w:spacing w:before="240" w:after="120"/>
      <w:outlineLvl w:val="1"/>
    </w:pPr>
    <w:rPr>
      <w:sz w:val="28"/>
      <w:szCs w:val="40"/>
    </w:rPr>
  </w:style>
  <w:style w:type="paragraph" w:styleId="Heading3">
    <w:name w:val="heading 3"/>
    <w:basedOn w:val="HeadingBase"/>
    <w:next w:val="BodyText"/>
    <w:link w:val="Heading3Char"/>
    <w:qFormat/>
    <w:rsid w:val="00CE73B2"/>
    <w:pPr>
      <w:spacing w:before="180" w:after="120"/>
      <w:outlineLvl w:val="2"/>
    </w:pPr>
    <w:rPr>
      <w:spacing w:val="-10"/>
      <w:kern w:val="32"/>
    </w:rPr>
  </w:style>
  <w:style w:type="paragraph" w:styleId="Heading4">
    <w:name w:val="heading 4"/>
    <w:basedOn w:val="HeadingBase"/>
    <w:next w:val="BodyText"/>
    <w:link w:val="Heading4Char"/>
    <w:qFormat/>
    <w:rsid w:val="00CE73B2"/>
    <w:pPr>
      <w:spacing w:before="160" w:after="120"/>
      <w:outlineLvl w:val="3"/>
    </w:pPr>
    <w:rPr>
      <w:sz w:val="22"/>
    </w:rPr>
  </w:style>
  <w:style w:type="paragraph" w:styleId="Heading5">
    <w:name w:val="heading 5"/>
    <w:basedOn w:val="HeadingBase"/>
    <w:next w:val="Normal"/>
    <w:link w:val="Heading5Char"/>
    <w:qFormat/>
    <w:rsid w:val="00CE73B2"/>
    <w:pPr>
      <w:spacing w:before="80"/>
      <w:outlineLvl w:val="4"/>
    </w:pPr>
    <w:rPr>
      <w:color w:val="918585"/>
      <w:sz w:val="20"/>
    </w:rPr>
  </w:style>
  <w:style w:type="paragraph" w:styleId="Heading6">
    <w:name w:val="heading 6"/>
    <w:basedOn w:val="HeadingBase"/>
    <w:next w:val="Normal"/>
    <w:link w:val="Heading6Char"/>
    <w:qFormat/>
    <w:rsid w:val="00CE73B2"/>
    <w:pPr>
      <w:spacing w:before="60"/>
      <w:outlineLvl w:val="5"/>
    </w:pPr>
    <w:rPr>
      <w:color w:val="918585"/>
      <w:sz w:val="20"/>
    </w:rPr>
  </w:style>
  <w:style w:type="paragraph" w:styleId="Heading7">
    <w:name w:val="heading 7"/>
    <w:basedOn w:val="Normal"/>
    <w:next w:val="Normal"/>
    <w:link w:val="Heading7Char"/>
    <w:qFormat/>
    <w:rsid w:val="00CE73B2"/>
    <w:pPr>
      <w:ind w:left="720"/>
      <w:outlineLvl w:val="6"/>
    </w:pPr>
    <w:rPr>
      <w:i/>
    </w:rPr>
  </w:style>
  <w:style w:type="paragraph" w:styleId="Heading8">
    <w:name w:val="heading 8"/>
    <w:basedOn w:val="Normal"/>
    <w:next w:val="Normal"/>
    <w:link w:val="Heading8Char"/>
    <w:qFormat/>
    <w:rsid w:val="00CE73B2"/>
    <w:pPr>
      <w:ind w:left="720"/>
      <w:outlineLvl w:val="7"/>
    </w:pPr>
    <w:rPr>
      <w:i/>
    </w:rPr>
  </w:style>
  <w:style w:type="paragraph" w:styleId="Heading9">
    <w:name w:val="heading 9"/>
    <w:basedOn w:val="Normal"/>
    <w:next w:val="Normal"/>
    <w:link w:val="Heading9Char"/>
    <w:qFormat/>
    <w:rsid w:val="00CE73B2"/>
    <w:pPr>
      <w:ind w:left="720"/>
      <w:outlineLvl w:val="8"/>
    </w:pPr>
    <w:rPr>
      <w:i/>
    </w:rPr>
  </w:style>
  <w:style w:type="character" w:default="1" w:styleId="DefaultParagraphFont">
    <w:name w:val="Default Paragraph Font"/>
    <w:uiPriority w:val="1"/>
    <w:unhideWhenUsed/>
    <w:rsid w:val="00CE7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3B2"/>
  </w:style>
  <w:style w:type="character" w:customStyle="1" w:styleId="Heading1Char">
    <w:name w:val="Heading 1 Char"/>
    <w:basedOn w:val="DefaultParagraphFont"/>
    <w:link w:val="Heading1"/>
    <w:rsid w:val="00CE73B2"/>
    <w:rPr>
      <w:rFonts w:ascii="Times New Roman" w:eastAsia="Times New Roman" w:hAnsi="Times New Roman" w:cs="Times New Roman"/>
      <w:b/>
      <w:sz w:val="32"/>
      <w:szCs w:val="20"/>
      <w:lang w:eastAsia="en-US"/>
    </w:rPr>
  </w:style>
  <w:style w:type="paragraph" w:styleId="BodyText">
    <w:name w:val="Body Text"/>
    <w:basedOn w:val="Normal"/>
    <w:link w:val="BodyTextChar"/>
    <w:rsid w:val="00CE7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3B2"/>
    <w:rPr>
      <w:rFonts w:ascii="Times New Roman" w:eastAsia="Times New Roman" w:hAnsi="Times New Roman" w:cs="Times New Roman"/>
      <w:sz w:val="24"/>
      <w:lang w:val="en-US" w:eastAsia="en-US"/>
    </w:rPr>
  </w:style>
  <w:style w:type="paragraph" w:styleId="Footer">
    <w:name w:val="footer"/>
    <w:basedOn w:val="Normal"/>
    <w:link w:val="FooterChar"/>
    <w:rsid w:val="00CE7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3B2"/>
    <w:rPr>
      <w:rFonts w:ascii="Times New Roman" w:eastAsia="Times New Roman" w:hAnsi="Times New Roman" w:cs="Times New Roman"/>
      <w:sz w:val="16"/>
      <w:lang w:val="en-US" w:eastAsia="en-US"/>
    </w:rPr>
  </w:style>
  <w:style w:type="paragraph" w:styleId="List">
    <w:name w:val="List"/>
    <w:basedOn w:val="BodyText"/>
    <w:next w:val="BodyText"/>
    <w:rsid w:val="00CE73B2"/>
    <w:pPr>
      <w:tabs>
        <w:tab w:val="left" w:pos="340"/>
      </w:tabs>
      <w:spacing w:before="60" w:after="60"/>
      <w:ind w:left="340" w:hanging="340"/>
    </w:pPr>
  </w:style>
  <w:style w:type="paragraph" w:styleId="ListBullet">
    <w:name w:val="List Bullet"/>
    <w:basedOn w:val="List"/>
    <w:rsid w:val="00CE73B2"/>
    <w:pPr>
      <w:numPr>
        <w:numId w:val="12"/>
      </w:numPr>
      <w:tabs>
        <w:tab w:val="clear" w:pos="340"/>
      </w:tabs>
      <w:spacing w:before="40" w:after="40"/>
    </w:pPr>
  </w:style>
  <w:style w:type="character" w:customStyle="1" w:styleId="SpecialBold">
    <w:name w:val="Special Bold"/>
    <w:basedOn w:val="DefaultParagraphFont"/>
    <w:rsid w:val="00CE73B2"/>
    <w:rPr>
      <w:b/>
      <w:spacing w:val="0"/>
    </w:rPr>
  </w:style>
  <w:style w:type="paragraph" w:styleId="Header">
    <w:name w:val="header"/>
    <w:basedOn w:val="Normal"/>
    <w:link w:val="HeaderChar"/>
    <w:rsid w:val="00CE7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3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73B2"/>
    <w:pPr>
      <w:spacing w:before="240" w:after="120"/>
      <w:outlineLvl w:val="0"/>
    </w:pPr>
    <w:rPr>
      <w:rFonts w:ascii="Times New Roman" w:hAnsi="Times New Roman"/>
      <w:b/>
      <w:sz w:val="28"/>
    </w:rPr>
  </w:style>
  <w:style w:type="paragraph" w:customStyle="1" w:styleId="AllowPageBreak">
    <w:name w:val="AllowPageBreak"/>
    <w:rsid w:val="00CE7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73B2"/>
    <w:pPr>
      <w:tabs>
        <w:tab w:val="left" w:pos="680"/>
      </w:tabs>
      <w:spacing w:before="60" w:after="60"/>
      <w:ind w:left="680" w:hanging="340"/>
    </w:pPr>
  </w:style>
  <w:style w:type="character" w:customStyle="1" w:styleId="Heading2Char">
    <w:name w:val="Heading 2 Char"/>
    <w:basedOn w:val="DefaultParagraphFont"/>
    <w:link w:val="Heading2"/>
    <w:rsid w:val="00CE7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3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73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73B2"/>
    <w:rPr>
      <w:rFonts w:ascii="Courier New" w:eastAsia="Times New Roman" w:hAnsi="Courier New" w:cs="Times New Roman"/>
      <w:i/>
      <w:szCs w:val="20"/>
      <w:lang w:val="en-US" w:eastAsia="en-US"/>
    </w:rPr>
  </w:style>
  <w:style w:type="paragraph" w:customStyle="1" w:styleId="HeadingBase">
    <w:name w:val="Heading Base"/>
    <w:rsid w:val="00CE7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3B2"/>
    <w:pPr>
      <w:tabs>
        <w:tab w:val="right" w:leader="dot" w:pos="9072"/>
      </w:tabs>
      <w:ind w:left="567"/>
    </w:pPr>
    <w:rPr>
      <w:szCs w:val="22"/>
    </w:rPr>
  </w:style>
  <w:style w:type="paragraph" w:customStyle="1" w:styleId="TOCBase">
    <w:name w:val="TOC Base"/>
    <w:rsid w:val="00CE7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3B2"/>
    <w:pPr>
      <w:tabs>
        <w:tab w:val="right" w:leader="dot" w:pos="9072"/>
      </w:tabs>
      <w:spacing w:before="40" w:after="40"/>
      <w:ind w:left="284"/>
    </w:pPr>
    <w:rPr>
      <w:rFonts w:ascii="Times New Roman" w:hAnsi="Times New Roman"/>
    </w:rPr>
  </w:style>
  <w:style w:type="paragraph" w:styleId="TOC1">
    <w:name w:val="toc 1"/>
    <w:basedOn w:val="TOCBase"/>
    <w:next w:val="Normal"/>
    <w:rsid w:val="00CE7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73B2"/>
    <w:pPr>
      <w:spacing w:before="5040"/>
      <w:jc w:val="center"/>
    </w:pPr>
    <w:rPr>
      <w:sz w:val="48"/>
      <w:szCs w:val="72"/>
      <w:lang w:val="en-US"/>
    </w:rPr>
  </w:style>
  <w:style w:type="character" w:customStyle="1" w:styleId="TitleChar">
    <w:name w:val="Title Char"/>
    <w:basedOn w:val="DefaultParagraphFont"/>
    <w:link w:val="Title"/>
    <w:rsid w:val="00CE7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3B2"/>
    <w:pPr>
      <w:tabs>
        <w:tab w:val="left" w:pos="3600"/>
        <w:tab w:val="left" w:pos="3958"/>
      </w:tabs>
    </w:pPr>
  </w:style>
  <w:style w:type="paragraph" w:customStyle="1" w:styleId="Note">
    <w:name w:val="Note"/>
    <w:basedOn w:val="BodyText"/>
    <w:rsid w:val="00CE7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3B2"/>
    <w:pPr>
      <w:framePr w:wrap="auto" w:hAnchor="text" w:y="6049"/>
    </w:pPr>
    <w:rPr>
      <w:color w:val="000000"/>
      <w:sz w:val="40"/>
    </w:rPr>
  </w:style>
  <w:style w:type="paragraph" w:customStyle="1" w:styleId="TOCTitle">
    <w:name w:val="TOCTitle"/>
    <w:basedOn w:val="Heading1"/>
    <w:rsid w:val="00CE73B2"/>
    <w:pPr>
      <w:spacing w:after="240"/>
      <w:jc w:val="center"/>
      <w:outlineLvl w:val="9"/>
    </w:pPr>
    <w:rPr>
      <w:caps/>
    </w:rPr>
  </w:style>
  <w:style w:type="paragraph" w:customStyle="1" w:styleId="Version">
    <w:name w:val="Version"/>
    <w:rsid w:val="00CE7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3B2"/>
    <w:pPr>
      <w:numPr>
        <w:numId w:val="13"/>
      </w:numPr>
      <w:tabs>
        <w:tab w:val="clear" w:pos="680"/>
      </w:tabs>
    </w:pPr>
  </w:style>
  <w:style w:type="paragraph" w:styleId="Index1">
    <w:name w:val="index 1"/>
    <w:basedOn w:val="Normal"/>
    <w:next w:val="Normal"/>
    <w:semiHidden/>
    <w:rsid w:val="00CE73B2"/>
    <w:pPr>
      <w:keepNext w:val="0"/>
      <w:tabs>
        <w:tab w:val="right" w:pos="4176"/>
      </w:tabs>
      <w:ind w:left="198" w:hanging="198"/>
    </w:pPr>
    <w:rPr>
      <w:rFonts w:ascii="Garamond" w:hAnsi="Garamond"/>
    </w:rPr>
  </w:style>
  <w:style w:type="paragraph" w:styleId="IndexHeading">
    <w:name w:val="index heading"/>
    <w:basedOn w:val="Normal"/>
    <w:next w:val="Index1"/>
    <w:semiHidden/>
    <w:rsid w:val="00CE73B2"/>
    <w:pPr>
      <w:spacing w:before="120" w:after="120"/>
    </w:pPr>
    <w:rPr>
      <w:rFonts w:ascii="Arial" w:hAnsi="Arial"/>
      <w:b/>
      <w:color w:val="918585"/>
      <w:sz w:val="24"/>
    </w:rPr>
  </w:style>
  <w:style w:type="paragraph" w:customStyle="1" w:styleId="Chapter">
    <w:name w:val="Chapter"/>
    <w:basedOn w:val="Normal"/>
    <w:rsid w:val="00CE73B2"/>
    <w:pPr>
      <w:spacing w:before="240"/>
    </w:pPr>
    <w:rPr>
      <w:rFonts w:ascii="Times New Roman" w:hAnsi="Times New Roman"/>
      <w:smallCaps/>
      <w:spacing w:val="80"/>
      <w:sz w:val="28"/>
    </w:rPr>
  </w:style>
  <w:style w:type="paragraph" w:customStyle="1" w:styleId="InChapter">
    <w:name w:val="InChapter"/>
    <w:basedOn w:val="Heading3"/>
    <w:rsid w:val="00CE73B2"/>
    <w:pPr>
      <w:spacing w:after="240"/>
      <w:outlineLvl w:val="9"/>
    </w:pPr>
    <w:rPr>
      <w:noProof/>
    </w:rPr>
  </w:style>
  <w:style w:type="paragraph" w:styleId="Index2">
    <w:name w:val="index 2"/>
    <w:basedOn w:val="Normal"/>
    <w:next w:val="Normal"/>
    <w:semiHidden/>
    <w:rsid w:val="00CE73B2"/>
    <w:pPr>
      <w:tabs>
        <w:tab w:val="right" w:pos="4176"/>
      </w:tabs>
      <w:ind w:left="568" w:hanging="284"/>
    </w:pPr>
    <w:rPr>
      <w:rFonts w:ascii="Garamond" w:hAnsi="Garamond"/>
    </w:rPr>
  </w:style>
  <w:style w:type="paragraph" w:customStyle="1" w:styleId="Byline">
    <w:name w:val="Byline"/>
    <w:rsid w:val="00CE7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3B2"/>
    <w:pPr>
      <w:tabs>
        <w:tab w:val="clear" w:pos="3600"/>
        <w:tab w:val="clear" w:pos="3958"/>
      </w:tabs>
      <w:jc w:val="right"/>
    </w:pPr>
  </w:style>
  <w:style w:type="character" w:styleId="Emphasis">
    <w:name w:val="Emphasis"/>
    <w:basedOn w:val="DefaultParagraphFont"/>
    <w:qFormat/>
    <w:rsid w:val="00CE73B2"/>
    <w:rPr>
      <w:i/>
    </w:rPr>
  </w:style>
  <w:style w:type="paragraph" w:styleId="Caption">
    <w:name w:val="caption"/>
    <w:basedOn w:val="BodyText"/>
    <w:next w:val="Normal"/>
    <w:qFormat/>
    <w:rsid w:val="00CE73B2"/>
    <w:pPr>
      <w:framePr w:w="2268" w:hSpace="181" w:vSpace="181" w:wrap="around" w:vAnchor="text" w:hAnchor="page" w:x="1135" w:y="285" w:anchorLock="1"/>
    </w:pPr>
    <w:rPr>
      <w:i/>
    </w:rPr>
  </w:style>
  <w:style w:type="paragraph" w:customStyle="1" w:styleId="MiniTOCTitle">
    <w:name w:val="MiniTOCTitle"/>
    <w:basedOn w:val="Heading4"/>
    <w:rsid w:val="00CE73B2"/>
    <w:pPr>
      <w:spacing w:before="240"/>
      <w:outlineLvl w:val="9"/>
    </w:pPr>
    <w:rPr>
      <w:noProof/>
      <w:sz w:val="24"/>
    </w:rPr>
  </w:style>
  <w:style w:type="paragraph" w:customStyle="1" w:styleId="MiniTOCItem">
    <w:name w:val="MiniTOCItem"/>
    <w:basedOn w:val="ListBullet"/>
    <w:rsid w:val="00CE73B2"/>
    <w:pPr>
      <w:numPr>
        <w:numId w:val="0"/>
      </w:numPr>
      <w:tabs>
        <w:tab w:val="right" w:leader="dot" w:pos="6521"/>
      </w:tabs>
      <w:spacing w:before="0" w:after="0"/>
    </w:pPr>
  </w:style>
  <w:style w:type="paragraph" w:customStyle="1" w:styleId="TOFTitle">
    <w:name w:val="TOFTitle"/>
    <w:basedOn w:val="TOCTitle"/>
    <w:rsid w:val="00CE73B2"/>
  </w:style>
  <w:style w:type="paragraph" w:styleId="TableofFigures">
    <w:name w:val="table of figures"/>
    <w:basedOn w:val="Normal"/>
    <w:next w:val="Normal"/>
    <w:semiHidden/>
    <w:rsid w:val="00CE73B2"/>
    <w:pPr>
      <w:tabs>
        <w:tab w:val="right" w:leader="dot" w:pos="9072"/>
      </w:tabs>
      <w:ind w:left="970" w:hanging="403"/>
    </w:pPr>
    <w:rPr>
      <w:rFonts w:ascii="Times New Roman" w:hAnsi="Times New Roman"/>
      <w:b/>
    </w:rPr>
  </w:style>
  <w:style w:type="paragraph" w:styleId="ListNumber">
    <w:name w:val="List Number"/>
    <w:basedOn w:val="List"/>
    <w:rsid w:val="00CE73B2"/>
    <w:pPr>
      <w:numPr>
        <w:numId w:val="10"/>
      </w:numPr>
    </w:pPr>
  </w:style>
  <w:style w:type="character" w:customStyle="1" w:styleId="WingdingSymbols">
    <w:name w:val="Wingding Symbols"/>
    <w:rsid w:val="00CE73B2"/>
    <w:rPr>
      <w:rFonts w:ascii="Wingdings" w:hAnsi="Wingdings"/>
    </w:rPr>
  </w:style>
  <w:style w:type="paragraph" w:customStyle="1" w:styleId="TableHeading">
    <w:name w:val="Table Heading"/>
    <w:basedOn w:val="HeadingBase"/>
    <w:rsid w:val="00CE73B2"/>
    <w:pPr>
      <w:keepLines/>
      <w:pBdr>
        <w:bottom w:val="single" w:sz="6" w:space="1" w:color="918585"/>
      </w:pBdr>
      <w:spacing w:before="240"/>
    </w:pPr>
  </w:style>
  <w:style w:type="character" w:customStyle="1" w:styleId="HotSpot">
    <w:name w:val="HotSpot"/>
    <w:rsid w:val="00CE73B2"/>
    <w:rPr>
      <w:color w:val="0033CC"/>
      <w:u w:val="none"/>
    </w:rPr>
  </w:style>
  <w:style w:type="paragraph" w:customStyle="1" w:styleId="BodyTextRight">
    <w:name w:val="Body Text Right"/>
    <w:basedOn w:val="BodyText"/>
    <w:rsid w:val="00CE73B2"/>
    <w:pPr>
      <w:spacing w:before="0" w:after="0"/>
      <w:jc w:val="right"/>
    </w:pPr>
  </w:style>
  <w:style w:type="paragraph" w:styleId="Index3">
    <w:name w:val="index 3"/>
    <w:basedOn w:val="ListNumber2"/>
    <w:next w:val="Normal"/>
    <w:semiHidden/>
    <w:rsid w:val="00CE73B2"/>
    <w:pPr>
      <w:numPr>
        <w:numId w:val="0"/>
      </w:numPr>
      <w:tabs>
        <w:tab w:val="right" w:leader="dot" w:pos="4176"/>
      </w:tabs>
    </w:pPr>
  </w:style>
  <w:style w:type="paragraph" w:styleId="ListNumber2">
    <w:name w:val="List Number 2"/>
    <w:basedOn w:val="List2"/>
    <w:rsid w:val="00CE73B2"/>
    <w:pPr>
      <w:numPr>
        <w:numId w:val="9"/>
      </w:numPr>
      <w:tabs>
        <w:tab w:val="clear" w:pos="1060"/>
      </w:tabs>
    </w:pPr>
  </w:style>
  <w:style w:type="paragraph" w:customStyle="1" w:styleId="MarginNote">
    <w:name w:val="Margin Note"/>
    <w:basedOn w:val="BodyText"/>
    <w:rsid w:val="00CE7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3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73B2"/>
    <w:rPr>
      <w:sz w:val="32"/>
    </w:rPr>
  </w:style>
  <w:style w:type="paragraph" w:customStyle="1" w:styleId="HeadingProcedure">
    <w:name w:val="Heading Procedure"/>
    <w:basedOn w:val="HeadingBase"/>
    <w:next w:val="Normal"/>
    <w:rsid w:val="00CE73B2"/>
    <w:pPr>
      <w:tabs>
        <w:tab w:val="left" w:pos="0"/>
      </w:tabs>
      <w:spacing w:before="120" w:after="60"/>
    </w:pPr>
    <w:rPr>
      <w:i/>
      <w:color w:val="918585"/>
      <w:sz w:val="22"/>
    </w:rPr>
  </w:style>
  <w:style w:type="paragraph" w:customStyle="1" w:styleId="TableBodyText">
    <w:name w:val="Table Body Text"/>
    <w:basedOn w:val="BodyText"/>
    <w:rsid w:val="00CE73B2"/>
    <w:pPr>
      <w:spacing w:before="60" w:after="60"/>
    </w:pPr>
  </w:style>
  <w:style w:type="paragraph" w:styleId="ListContinue">
    <w:name w:val="List Continue"/>
    <w:basedOn w:val="List"/>
    <w:rsid w:val="00CE73B2"/>
    <w:pPr>
      <w:ind w:firstLine="0"/>
    </w:pPr>
  </w:style>
  <w:style w:type="paragraph" w:customStyle="1" w:styleId="ListNote">
    <w:name w:val="List Note"/>
    <w:basedOn w:val="List"/>
    <w:rsid w:val="00CE73B2"/>
    <w:pPr>
      <w:pBdr>
        <w:top w:val="single" w:sz="6" w:space="2" w:color="918585"/>
        <w:bottom w:val="single" w:sz="6" w:space="2" w:color="918585"/>
      </w:pBdr>
      <w:tabs>
        <w:tab w:val="left" w:pos="1021"/>
      </w:tabs>
      <w:ind w:firstLine="0"/>
    </w:pPr>
  </w:style>
  <w:style w:type="paragraph" w:customStyle="1" w:styleId="Warning">
    <w:name w:val="Warning"/>
    <w:basedOn w:val="BodyText"/>
    <w:rsid w:val="00CE73B2"/>
    <w:pPr>
      <w:shd w:val="clear" w:color="auto" w:fill="D9D9D9"/>
      <w:tabs>
        <w:tab w:val="left" w:pos="992"/>
      </w:tabs>
      <w:ind w:left="119" w:right="119"/>
    </w:pPr>
    <w:rPr>
      <w:sz w:val="20"/>
    </w:rPr>
  </w:style>
  <w:style w:type="paragraph" w:customStyle="1" w:styleId="MarginIcons">
    <w:name w:val="Margin Icons"/>
    <w:basedOn w:val="BodyText"/>
    <w:rsid w:val="00CE7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3B2"/>
    <w:rPr>
      <w:rFonts w:ascii="Courier New" w:hAnsi="Courier New"/>
    </w:rPr>
  </w:style>
  <w:style w:type="paragraph" w:customStyle="1" w:styleId="NoteBullet">
    <w:name w:val="Note Bullet"/>
    <w:basedOn w:val="Note"/>
    <w:rsid w:val="00CE73B2"/>
    <w:pPr>
      <w:tabs>
        <w:tab w:val="clear" w:pos="680"/>
      </w:tabs>
      <w:spacing w:before="60" w:after="60"/>
    </w:pPr>
  </w:style>
  <w:style w:type="paragraph" w:customStyle="1" w:styleId="SubHeading2">
    <w:name w:val="SubHeading2"/>
    <w:basedOn w:val="HeadingBase"/>
    <w:rsid w:val="00CE73B2"/>
    <w:pPr>
      <w:spacing w:before="240" w:after="60"/>
    </w:pPr>
    <w:rPr>
      <w:sz w:val="20"/>
    </w:rPr>
  </w:style>
  <w:style w:type="paragraph" w:customStyle="1" w:styleId="SubHeading1">
    <w:name w:val="SubHeading1"/>
    <w:basedOn w:val="HeadingBase"/>
    <w:rsid w:val="00CE73B2"/>
    <w:pPr>
      <w:spacing w:before="240" w:after="60"/>
    </w:pPr>
    <w:rPr>
      <w:color w:val="918585"/>
      <w:sz w:val="22"/>
    </w:rPr>
  </w:style>
  <w:style w:type="paragraph" w:customStyle="1" w:styleId="SideHeading">
    <w:name w:val="Side Heading"/>
    <w:basedOn w:val="HeadingBase"/>
    <w:rsid w:val="00CE7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3B2"/>
    <w:pPr>
      <w:tabs>
        <w:tab w:val="num" w:pos="360"/>
      </w:tabs>
    </w:pPr>
  </w:style>
  <w:style w:type="paragraph" w:styleId="PlainText">
    <w:name w:val="Plain Text"/>
    <w:basedOn w:val="Normal"/>
    <w:link w:val="PlainTextChar"/>
    <w:rsid w:val="00CE73B2"/>
    <w:rPr>
      <w:sz w:val="20"/>
    </w:rPr>
  </w:style>
  <w:style w:type="character" w:customStyle="1" w:styleId="PlainTextChar">
    <w:name w:val="Plain Text Char"/>
    <w:basedOn w:val="DefaultParagraphFont"/>
    <w:link w:val="PlainText"/>
    <w:rsid w:val="00CE73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73B2"/>
    <w:rPr>
      <w:b/>
      <w:smallCaps/>
    </w:rPr>
  </w:style>
  <w:style w:type="paragraph" w:customStyle="1" w:styleId="TableListNumber">
    <w:name w:val="Table List Number"/>
    <w:basedOn w:val="ListNumber"/>
    <w:rsid w:val="00CE73B2"/>
    <w:pPr>
      <w:numPr>
        <w:numId w:val="0"/>
      </w:numPr>
    </w:pPr>
  </w:style>
  <w:style w:type="paragraph" w:styleId="TOC4">
    <w:name w:val="toc 4"/>
    <w:basedOn w:val="TOCBase"/>
    <w:next w:val="Normal"/>
    <w:semiHidden/>
    <w:rsid w:val="00CE73B2"/>
    <w:pPr>
      <w:tabs>
        <w:tab w:val="right" w:leader="dot" w:pos="9071"/>
      </w:tabs>
      <w:ind w:left="1701"/>
    </w:pPr>
  </w:style>
  <w:style w:type="paragraph" w:customStyle="1" w:styleId="ListAlpha">
    <w:name w:val="List Alpha"/>
    <w:basedOn w:val="List"/>
    <w:rsid w:val="00CE73B2"/>
    <w:pPr>
      <w:numPr>
        <w:numId w:val="8"/>
      </w:numPr>
    </w:pPr>
  </w:style>
  <w:style w:type="paragraph" w:customStyle="1" w:styleId="ListAlpha2">
    <w:name w:val="List Alpha 2"/>
    <w:basedOn w:val="List2"/>
    <w:rsid w:val="00CE73B2"/>
    <w:pPr>
      <w:numPr>
        <w:numId w:val="7"/>
      </w:numPr>
    </w:pPr>
  </w:style>
  <w:style w:type="paragraph" w:styleId="List3">
    <w:name w:val="List 3"/>
    <w:basedOn w:val="BodyText"/>
    <w:rsid w:val="00CE73B2"/>
    <w:pPr>
      <w:tabs>
        <w:tab w:val="left" w:pos="1021"/>
      </w:tabs>
      <w:spacing w:before="60" w:after="60"/>
      <w:ind w:left="1020" w:hanging="340"/>
    </w:pPr>
  </w:style>
  <w:style w:type="paragraph" w:styleId="List4">
    <w:name w:val="List 4"/>
    <w:basedOn w:val="BodyText"/>
    <w:rsid w:val="00CE73B2"/>
    <w:pPr>
      <w:tabs>
        <w:tab w:val="left" w:pos="1361"/>
      </w:tabs>
      <w:spacing w:before="60" w:after="60"/>
      <w:ind w:left="1361" w:hanging="340"/>
    </w:pPr>
  </w:style>
  <w:style w:type="paragraph" w:styleId="List5">
    <w:name w:val="List 5"/>
    <w:basedOn w:val="BodyText"/>
    <w:rsid w:val="00CE73B2"/>
    <w:pPr>
      <w:tabs>
        <w:tab w:val="left" w:pos="1701"/>
      </w:tabs>
      <w:spacing w:before="60" w:after="60"/>
      <w:ind w:left="1701" w:hanging="340"/>
    </w:pPr>
  </w:style>
  <w:style w:type="paragraph" w:styleId="ListBullet3">
    <w:name w:val="List Bullet 3"/>
    <w:basedOn w:val="List3"/>
    <w:rsid w:val="00CE73B2"/>
    <w:pPr>
      <w:numPr>
        <w:numId w:val="14"/>
      </w:numPr>
      <w:tabs>
        <w:tab w:val="clear" w:pos="1021"/>
      </w:tabs>
      <w:ind w:left="1037" w:hanging="357"/>
    </w:pPr>
  </w:style>
  <w:style w:type="paragraph" w:styleId="ListBullet4">
    <w:name w:val="List Bullet 4"/>
    <w:basedOn w:val="List4"/>
    <w:rsid w:val="00CE73B2"/>
    <w:pPr>
      <w:numPr>
        <w:numId w:val="2"/>
      </w:numPr>
    </w:pPr>
  </w:style>
  <w:style w:type="paragraph" w:styleId="ListBullet5">
    <w:name w:val="List Bullet 5"/>
    <w:basedOn w:val="List5"/>
    <w:rsid w:val="00CE73B2"/>
    <w:pPr>
      <w:numPr>
        <w:numId w:val="3"/>
      </w:numPr>
    </w:pPr>
  </w:style>
  <w:style w:type="paragraph" w:styleId="ListContinue2">
    <w:name w:val="List Continue 2"/>
    <w:basedOn w:val="List2"/>
    <w:rsid w:val="00CE73B2"/>
    <w:pPr>
      <w:ind w:firstLine="0"/>
    </w:pPr>
  </w:style>
  <w:style w:type="paragraph" w:styleId="ListContinue3">
    <w:name w:val="List Continue 3"/>
    <w:basedOn w:val="List3"/>
    <w:rsid w:val="00CE73B2"/>
    <w:pPr>
      <w:ind w:left="1021" w:firstLine="0"/>
    </w:pPr>
  </w:style>
  <w:style w:type="paragraph" w:styleId="ListContinue4">
    <w:name w:val="List Continue 4"/>
    <w:basedOn w:val="List4"/>
    <w:rsid w:val="00CE73B2"/>
    <w:pPr>
      <w:ind w:firstLine="0"/>
    </w:pPr>
  </w:style>
  <w:style w:type="paragraph" w:styleId="ListContinue5">
    <w:name w:val="List Continue 5"/>
    <w:basedOn w:val="List5"/>
    <w:rsid w:val="00CE73B2"/>
    <w:pPr>
      <w:ind w:firstLine="0"/>
    </w:pPr>
  </w:style>
  <w:style w:type="paragraph" w:styleId="ListNumber3">
    <w:name w:val="List Number 3"/>
    <w:basedOn w:val="List3"/>
    <w:rsid w:val="00CE73B2"/>
    <w:pPr>
      <w:numPr>
        <w:numId w:val="4"/>
      </w:numPr>
    </w:pPr>
  </w:style>
  <w:style w:type="paragraph" w:styleId="ListNumber4">
    <w:name w:val="List Number 4"/>
    <w:basedOn w:val="List4"/>
    <w:rsid w:val="00CE73B2"/>
    <w:pPr>
      <w:numPr>
        <w:numId w:val="5"/>
      </w:numPr>
    </w:pPr>
  </w:style>
  <w:style w:type="paragraph" w:styleId="ListNumber5">
    <w:name w:val="List Number 5"/>
    <w:basedOn w:val="List5"/>
    <w:rsid w:val="00CE73B2"/>
    <w:pPr>
      <w:numPr>
        <w:numId w:val="6"/>
      </w:numPr>
    </w:pPr>
  </w:style>
  <w:style w:type="paragraph" w:styleId="BlockText">
    <w:name w:val="Block Text"/>
    <w:basedOn w:val="Normal"/>
    <w:rsid w:val="00CE73B2"/>
    <w:pPr>
      <w:spacing w:after="120"/>
      <w:ind w:left="1440" w:right="1440"/>
    </w:pPr>
  </w:style>
  <w:style w:type="character" w:customStyle="1" w:styleId="Subscript">
    <w:name w:val="Subscript"/>
    <w:basedOn w:val="DefaultParagraphFont"/>
    <w:rsid w:val="00CE73B2"/>
    <w:rPr>
      <w:sz w:val="16"/>
      <w:vertAlign w:val="subscript"/>
    </w:rPr>
  </w:style>
  <w:style w:type="character" w:customStyle="1" w:styleId="Superscript">
    <w:name w:val="Superscript"/>
    <w:basedOn w:val="DefaultParagraphFont"/>
    <w:rsid w:val="00CE73B2"/>
    <w:rPr>
      <w:sz w:val="16"/>
      <w:vertAlign w:val="superscript"/>
    </w:rPr>
  </w:style>
  <w:style w:type="character" w:customStyle="1" w:styleId="Symbols">
    <w:name w:val="Symbols"/>
    <w:basedOn w:val="DefaultParagraphFont"/>
    <w:rsid w:val="00CE73B2"/>
    <w:rPr>
      <w:rFonts w:ascii="Symbol" w:hAnsi="Symbol"/>
    </w:rPr>
  </w:style>
  <w:style w:type="character" w:customStyle="1" w:styleId="MenuOptions">
    <w:name w:val="Menu Options"/>
    <w:basedOn w:val="DefaultParagraphFont"/>
    <w:rsid w:val="00CE73B2"/>
    <w:rPr>
      <w:rFonts w:ascii="Arial Narrow" w:hAnsi="Arial Narrow"/>
      <w:smallCaps/>
    </w:rPr>
  </w:style>
  <w:style w:type="character" w:customStyle="1" w:styleId="Buttons">
    <w:name w:val="Buttons"/>
    <w:basedOn w:val="DefaultParagraphFont"/>
    <w:rsid w:val="00CE73B2"/>
    <w:rPr>
      <w:b/>
    </w:rPr>
  </w:style>
  <w:style w:type="character" w:customStyle="1" w:styleId="Underlined">
    <w:name w:val="Underlined"/>
    <w:basedOn w:val="DefaultParagraphFont"/>
    <w:rsid w:val="00CE73B2"/>
    <w:rPr>
      <w:u w:val="single"/>
    </w:rPr>
  </w:style>
  <w:style w:type="paragraph" w:customStyle="1" w:styleId="TableBodyTextRight">
    <w:name w:val="Table Body Text Right"/>
    <w:basedOn w:val="TableBodyText"/>
    <w:rsid w:val="00CE73B2"/>
    <w:pPr>
      <w:widowControl w:val="0"/>
      <w:autoSpaceDE w:val="0"/>
      <w:autoSpaceDN w:val="0"/>
      <w:adjustRightInd w:val="0"/>
      <w:jc w:val="right"/>
    </w:pPr>
    <w:rPr>
      <w:rFonts w:cs="Arial"/>
      <w:szCs w:val="18"/>
    </w:rPr>
  </w:style>
  <w:style w:type="paragraph" w:customStyle="1" w:styleId="CopyrightText">
    <w:name w:val="Copyright Text"/>
    <w:basedOn w:val="BodyText"/>
    <w:rsid w:val="00CE73B2"/>
    <w:rPr>
      <w:sz w:val="18"/>
    </w:rPr>
  </w:style>
  <w:style w:type="paragraph" w:customStyle="1" w:styleId="BodySmallRight">
    <w:name w:val="Body Small Right"/>
    <w:basedOn w:val="BodyTextRight"/>
    <w:rsid w:val="00CE73B2"/>
    <w:rPr>
      <w:sz w:val="18"/>
      <w:szCs w:val="18"/>
    </w:rPr>
  </w:style>
  <w:style w:type="paragraph" w:customStyle="1" w:styleId="MarginEdition">
    <w:name w:val="Margin Edition"/>
    <w:basedOn w:val="MarginNote"/>
    <w:rsid w:val="00CE73B2"/>
    <w:pPr>
      <w:spacing w:before="0" w:after="0"/>
    </w:pPr>
    <w:rPr>
      <w:rFonts w:ascii="Times New Roman" w:hAnsi="Times New Roman"/>
      <w:color w:val="999999"/>
    </w:rPr>
  </w:style>
  <w:style w:type="paragraph" w:customStyle="1" w:styleId="Spacer">
    <w:name w:val="Spacer"/>
    <w:basedOn w:val="Normal"/>
    <w:rsid w:val="00CE73B2"/>
    <w:rPr>
      <w:sz w:val="2"/>
      <w:szCs w:val="2"/>
    </w:rPr>
  </w:style>
  <w:style w:type="character" w:customStyle="1" w:styleId="Small">
    <w:name w:val="Small"/>
    <w:basedOn w:val="DefaultParagraphFont"/>
    <w:rsid w:val="00CE73B2"/>
    <w:rPr>
      <w:sz w:val="16"/>
    </w:rPr>
  </w:style>
  <w:style w:type="paragraph" w:customStyle="1" w:styleId="WideTable">
    <w:name w:val="Wide Table"/>
    <w:basedOn w:val="Normal"/>
    <w:rsid w:val="00CE73B2"/>
    <w:pPr>
      <w:ind w:left="-1418"/>
    </w:pPr>
    <w:rPr>
      <w:sz w:val="2"/>
      <w:szCs w:val="2"/>
    </w:rPr>
  </w:style>
  <w:style w:type="character" w:styleId="PageNumber">
    <w:name w:val="page number"/>
    <w:basedOn w:val="DefaultParagraphFont"/>
    <w:rsid w:val="00CE73B2"/>
  </w:style>
  <w:style w:type="paragraph" w:styleId="Quote">
    <w:name w:val="Quote"/>
    <w:basedOn w:val="Heading1"/>
    <w:link w:val="QuoteChar"/>
    <w:qFormat/>
    <w:rsid w:val="00CE73B2"/>
    <w:rPr>
      <w:b w:val="0"/>
      <w:sz w:val="72"/>
      <w:szCs w:val="72"/>
      <w:lang w:val="en-NZ"/>
    </w:rPr>
  </w:style>
  <w:style w:type="character" w:customStyle="1" w:styleId="QuoteChar">
    <w:name w:val="Quote Char"/>
    <w:basedOn w:val="DefaultParagraphFont"/>
    <w:link w:val="Quote"/>
    <w:rsid w:val="00CE7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3B2"/>
    <w:pPr>
      <w:pageBreakBefore/>
    </w:pPr>
  </w:style>
  <w:style w:type="paragraph" w:customStyle="1" w:styleId="Border">
    <w:name w:val="Border"/>
    <w:basedOn w:val="Normal"/>
    <w:qFormat/>
    <w:rsid w:val="00CE7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3B2"/>
    <w:rPr>
      <w:b/>
      <w:bCs/>
      <w:i/>
      <w:iCs/>
      <w:color w:val="auto"/>
    </w:rPr>
  </w:style>
  <w:style w:type="paragraph" w:styleId="IntenseQuote">
    <w:name w:val="Intense Quote"/>
    <w:basedOn w:val="Normal"/>
    <w:next w:val="Normal"/>
    <w:link w:val="IntenseQuoteChar"/>
    <w:uiPriority w:val="30"/>
    <w:qFormat/>
    <w:rsid w:val="00CE7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3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73B2"/>
    <w:rPr>
      <w:smallCaps/>
      <w:color w:val="auto"/>
      <w:u w:val="single"/>
    </w:rPr>
  </w:style>
  <w:style w:type="character" w:styleId="IntenseReference">
    <w:name w:val="Intense Reference"/>
    <w:basedOn w:val="DefaultParagraphFont"/>
    <w:uiPriority w:val="32"/>
    <w:qFormat/>
    <w:rsid w:val="00CE73B2"/>
    <w:rPr>
      <w:b/>
      <w:bCs/>
      <w:smallCaps/>
      <w:color w:val="auto"/>
      <w:spacing w:val="5"/>
      <w:u w:val="single"/>
    </w:rPr>
  </w:style>
  <w:style w:type="paragraph" w:customStyle="1" w:styleId="2ColumnHeading">
    <w:name w:val="2Column Heading"/>
    <w:basedOn w:val="BodyText"/>
    <w:qFormat/>
    <w:rsid w:val="00CE73B2"/>
    <w:pPr>
      <w:spacing w:after="60"/>
      <w:ind w:left="-2268"/>
    </w:pPr>
    <w:rPr>
      <w:b/>
    </w:rPr>
  </w:style>
  <w:style w:type="paragraph" w:customStyle="1" w:styleId="Heading1TOC">
    <w:name w:val="Heading1 TOC"/>
    <w:basedOn w:val="Normal"/>
    <w:qFormat/>
    <w:rsid w:val="00CE73B2"/>
    <w:pPr>
      <w:spacing w:before="240" w:after="120"/>
    </w:pPr>
    <w:rPr>
      <w:rFonts w:ascii="Times New Roman" w:hAnsi="Times New Roman"/>
      <w:b/>
      <w:sz w:val="32"/>
    </w:rPr>
  </w:style>
  <w:style w:type="paragraph" w:customStyle="1" w:styleId="Heading2TOC">
    <w:name w:val="Heading2 TOC"/>
    <w:basedOn w:val="Normal"/>
    <w:qFormat/>
    <w:rsid w:val="00CE73B2"/>
    <w:pPr>
      <w:spacing w:before="240" w:after="60"/>
    </w:pPr>
    <w:rPr>
      <w:rFonts w:ascii="Times New Roman" w:hAnsi="Times New Roman"/>
      <w:b/>
      <w:sz w:val="28"/>
    </w:rPr>
  </w:style>
  <w:style w:type="character" w:customStyle="1" w:styleId="Underline">
    <w:name w:val="Underline"/>
    <w:basedOn w:val="DefaultParagraphFont"/>
    <w:qFormat/>
    <w:rsid w:val="00CE73B2"/>
    <w:rPr>
      <w:u w:val="single"/>
    </w:rPr>
  </w:style>
  <w:style w:type="character" w:customStyle="1" w:styleId="BoldandItalics">
    <w:name w:val="Bold and Italics"/>
    <w:qFormat/>
    <w:rsid w:val="00CE73B2"/>
    <w:rPr>
      <w:b/>
      <w:i/>
      <w:u w:val="none"/>
    </w:rPr>
  </w:style>
  <w:style w:type="paragraph" w:styleId="BalloonText">
    <w:name w:val="Balloon Text"/>
    <w:basedOn w:val="Normal"/>
    <w:link w:val="BalloonTextChar"/>
    <w:rsid w:val="00CE73B2"/>
    <w:rPr>
      <w:rFonts w:ascii="Tahoma" w:hAnsi="Tahoma" w:cs="Tahoma"/>
      <w:sz w:val="16"/>
      <w:szCs w:val="16"/>
    </w:rPr>
  </w:style>
  <w:style w:type="character" w:customStyle="1" w:styleId="BalloonTextChar">
    <w:name w:val="Balloon Text Char"/>
    <w:basedOn w:val="DefaultParagraphFont"/>
    <w:link w:val="BalloonText"/>
    <w:rsid w:val="00CE73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7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3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643</Words>
  <Characters>3957</Characters>
  <Application>Microsoft Office Word</Application>
  <DocSecurity>0</DocSecurity>
  <Lines>171</Lines>
  <Paragraphs>86</Paragraphs>
  <ScaleCrop>false</ScaleCrop>
  <Company>Author-it Software Corporation Ltd.</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AHCLSK201A Assist with feeding in a production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