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D6846" w:rsidP="00DD6846">
      <w:pPr>
        <w:pStyle w:val="Title"/>
      </w:pPr>
      <w:r>
        <w:fldChar w:fldCharType="begin"/>
      </w:r>
      <w:r>
        <w:instrText xml:space="preserve"> TITLE   \* MERGEFORMAT </w:instrText>
      </w:r>
      <w:r>
        <w:fldChar w:fldCharType="separate"/>
      </w:r>
      <w:r>
        <w:t>AHCILM305A Work with an Aboriginal Community or organisation</w:t>
      </w:r>
      <w:r>
        <w:fldChar w:fldCharType="end"/>
      </w:r>
    </w:p>
    <w:p w:rsidR="00DD6846" w:rsidP="00DD6846">
      <w:pPr>
        <w:pStyle w:val="Version"/>
        <w:sectPr w:rsidSect="00D96AEB">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96AEB" w:rsidP="00D96AEB">
      <w:pPr>
        <w:pStyle w:val="SuperHeading"/>
      </w:pPr>
      <w:r w:rsidRPr="00D96AEB">
        <w:t>AHCILM305A Work with an Aboriginal Community or organisation</w:t>
      </w:r>
    </w:p>
    <w:p w:rsidR="00000000" w:rsidRPr="00D96AEB" w:rsidP="00D96AEB">
      <w:pPr>
        <w:pStyle w:val="Heading1"/>
      </w:pPr>
      <w:bookmarkStart w:id="1" w:name="O_521280"/>
      <w:bookmarkEnd w:id="1"/>
      <w:r w:rsidRPr="00D96AEB">
        <w:t>Modification History</w:t>
      </w:r>
    </w:p>
    <w:tbl>
      <w:tblPr>
        <w:tblW w:w="0" w:type="auto"/>
        <w:tblLayout w:type="fixed"/>
        <w:tblCellMar>
          <w:left w:w="62" w:type="dxa"/>
          <w:right w:w="62" w:type="dxa"/>
        </w:tblCellMar>
        <w:tblLook w:val="0000"/>
      </w:tblPr>
      <w:tblGrid>
        <w:gridCol w:w="1803"/>
        <w:gridCol w:w="2247"/>
        <w:gridCol w:w="5084"/>
      </w:tblGrid>
      <w:tr w:rsidTr="00DD6846">
        <w:tblPrEx>
          <w:tblW w:w="0" w:type="auto"/>
          <w:tblLayout w:type="fixed"/>
          <w:tblCellMar>
            <w:left w:w="62" w:type="dxa"/>
            <w:right w:w="62" w:type="dxa"/>
          </w:tblCellMar>
          <w:tblLook w:val="0000"/>
        </w:tblPrEx>
        <w:trPr>
          <w:tblHeader/>
        </w:trPr>
        <w:tc>
          <w:tcPr>
            <w:tcW w:w="18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96AEB" w:rsidP="00D96AEB">
            <w:pPr>
              <w:pStyle w:val="BodyText"/>
            </w:pPr>
            <w:r w:rsidRPr="00D96AEB">
              <w:rPr>
                <w:rStyle w:val="SpecialBold"/>
              </w:rPr>
              <w:t>Release</w:t>
            </w:r>
          </w:p>
        </w:tc>
        <w:tc>
          <w:tcPr>
            <w:tcW w:w="224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96AEB" w:rsidP="00D96AEB">
            <w:pPr>
              <w:pStyle w:val="BodyText"/>
            </w:pPr>
            <w:r w:rsidRPr="00D96AEB">
              <w:rPr>
                <w:rStyle w:val="SpecialBold"/>
              </w:rPr>
              <w:t>TP Version</w:t>
            </w:r>
          </w:p>
        </w:tc>
        <w:tc>
          <w:tcPr>
            <w:tcW w:w="50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96AEB">
            <w:pPr>
              <w:pStyle w:val="BodyText"/>
              <w:rPr>
                <w:lang w:val="en-NZ"/>
              </w:rPr>
            </w:pPr>
            <w:r w:rsidRPr="00D96AEB">
              <w:rPr>
                <w:rStyle w:val="SpecialBold"/>
              </w:rPr>
              <w:t>Comments</w:t>
            </w:r>
          </w:p>
        </w:tc>
      </w:tr>
      <w:tr w:rsidTr="00DD6846">
        <w:tblPrEx>
          <w:tblW w:w="0" w:type="auto"/>
          <w:tblLayout w:type="fixed"/>
          <w:tblCellMar>
            <w:left w:w="62" w:type="dxa"/>
            <w:right w:w="62" w:type="dxa"/>
          </w:tblCellMar>
          <w:tblLook w:val="0000"/>
        </w:tblPrEx>
        <w:tc>
          <w:tcPr>
            <w:tcW w:w="18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96AEB">
            <w:pPr>
              <w:pStyle w:val="BodyText"/>
              <w:rPr>
                <w:lang w:val="en-NZ"/>
              </w:rPr>
            </w:pPr>
            <w:r w:rsidRPr="00D96AEB">
              <w:t>1</w:t>
            </w:r>
          </w:p>
        </w:tc>
        <w:tc>
          <w:tcPr>
            <w:tcW w:w="224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96AEB">
            <w:pPr>
              <w:pStyle w:val="BodyText"/>
              <w:rPr>
                <w:lang w:val="en-NZ"/>
              </w:rPr>
            </w:pPr>
            <w:r w:rsidRPr="00D96AEB">
              <w:t>AHC10v5</w:t>
            </w:r>
          </w:p>
        </w:tc>
        <w:tc>
          <w:tcPr>
            <w:tcW w:w="50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96AEB" w:rsidP="00D96AEB">
            <w:pPr>
              <w:pStyle w:val="BodyText"/>
            </w:pPr>
            <w:r w:rsidRPr="00D96AEB">
              <w:t>Initial release. Supersedes and is not equivalent to AHCILM303A</w:t>
            </w:r>
          </w:p>
        </w:tc>
      </w:tr>
    </w:tbl>
    <w:p w:rsidR="00000000" w:rsidRPr="00D96AEB" w:rsidP="00D96AEB">
      <w:pPr>
        <w:pStyle w:val="BodyText"/>
      </w:pPr>
    </w:p>
    <w:p w:rsidR="00000000" w:rsidRPr="00D96AEB" w:rsidP="00D96AEB">
      <w:pPr>
        <w:pStyle w:val="AllowPageBreak"/>
      </w:pPr>
    </w:p>
    <w:p w:rsidR="00000000" w:rsidRPr="00D96AEB" w:rsidP="00D96AEB">
      <w:pPr>
        <w:pStyle w:val="Heading1"/>
      </w:pPr>
      <w:bookmarkStart w:id="2" w:name="O_521281"/>
      <w:bookmarkEnd w:id="2"/>
      <w:r w:rsidRPr="00D96AEB">
        <w:t>Unit Descriptor</w:t>
      </w:r>
    </w:p>
    <w:p w:rsidR="00000000" w:rsidRPr="00D96AEB" w:rsidP="00D96AEB">
      <w:pPr>
        <w:pStyle w:val="BodyText"/>
      </w:pPr>
      <w:r w:rsidRPr="00D96AEB">
        <w:t>This unit covers the process of operating in an Aboriginal Community or organisat</w:t>
      </w:r>
      <w:r w:rsidRPr="00D96AEB">
        <w:t>ion while demonstrating an awareness of Aboriginal identity, history and spirituality.</w:t>
      </w:r>
    </w:p>
    <w:p w:rsidR="00000000" w:rsidRPr="00D96AEB" w:rsidP="00D96AEB">
      <w:pPr>
        <w:pStyle w:val="AllowPageBreak"/>
      </w:pPr>
    </w:p>
    <w:p w:rsidR="00000000" w:rsidRPr="00D96AEB" w:rsidP="00D96AEB">
      <w:pPr>
        <w:pStyle w:val="Heading1"/>
      </w:pPr>
      <w:bookmarkStart w:id="3" w:name="O_521282"/>
      <w:bookmarkEnd w:id="3"/>
      <w:r w:rsidRPr="00D96AEB">
        <w:t>Application of the Unit</w:t>
      </w:r>
    </w:p>
    <w:p w:rsidR="00000000" w:rsidRPr="00D96AEB" w:rsidP="00D96AEB">
      <w:pPr>
        <w:pStyle w:val="BodyText"/>
      </w:pPr>
      <w:r w:rsidRPr="00D96AEB">
        <w:t>This unit is normally carried out within own area of responsibility. It requires some jud</w:t>
      </w:r>
      <w:r w:rsidRPr="00D96AEB">
        <w:t>gement and discretion, and would be carried out under minimal supervision within enterprise guidelines. The unit applies to participants working in and with Aboriginal communities and organisations and is also applicable to the work of repatriation workers</w:t>
      </w:r>
      <w:r w:rsidRPr="00D96AEB">
        <w:t xml:space="preserve"> and anthropologists.</w:t>
      </w:r>
    </w:p>
    <w:p w:rsidR="00000000" w:rsidRPr="00D96AEB" w:rsidP="00D96AEB">
      <w:pPr>
        <w:pStyle w:val="AllowPageBreak"/>
      </w:pPr>
    </w:p>
    <w:p w:rsidR="00000000" w:rsidRPr="00D96AEB" w:rsidP="00D96AEB">
      <w:pPr>
        <w:pStyle w:val="Heading1"/>
      </w:pPr>
      <w:bookmarkStart w:id="4" w:name="O_521283"/>
      <w:bookmarkEnd w:id="4"/>
      <w:r w:rsidRPr="00D96AEB">
        <w:t>Licensing/Regulatory Information</w:t>
      </w:r>
    </w:p>
    <w:p w:rsidR="00000000" w:rsidRPr="00D96AEB" w:rsidP="00D96AEB">
      <w:pPr>
        <w:pStyle w:val="BodyText"/>
      </w:pPr>
      <w:r w:rsidRPr="00D96AEB">
        <w:t>No licensing, legislative, regulatory or certification requirements apply to this unit at the time of endorsement.</w:t>
      </w:r>
    </w:p>
    <w:p w:rsidR="00000000" w:rsidRPr="00D96AEB" w:rsidP="00D96AEB">
      <w:pPr>
        <w:pStyle w:val="AllowPageBreak"/>
      </w:pPr>
    </w:p>
    <w:p w:rsidR="00000000" w:rsidRPr="00D96AEB" w:rsidP="00D96AEB">
      <w:pPr>
        <w:pStyle w:val="Heading1"/>
      </w:pPr>
      <w:bookmarkStart w:id="5" w:name="O_521284"/>
      <w:bookmarkEnd w:id="5"/>
      <w:r w:rsidRPr="00D96AEB">
        <w:t>Pre-Requisites</w:t>
      </w:r>
    </w:p>
    <w:p w:rsidR="00000000" w:rsidRPr="00D96AEB" w:rsidP="00D96AEB">
      <w:pPr>
        <w:pStyle w:val="BodyText"/>
      </w:pPr>
      <w:r w:rsidRPr="00D96AEB">
        <w:t>AHCILM306A</w:t>
      </w:r>
      <w:r w:rsidRPr="00D96AEB">
        <w:tab/>
        <w:t>Follow Aboriginal cultural</w:t>
      </w:r>
      <w:r w:rsidRPr="00D96AEB">
        <w:t xml:space="preserve"> protocols</w:t>
      </w:r>
    </w:p>
    <w:p w:rsidR="00000000" w:rsidRPr="00D96AEB" w:rsidP="00D96AEB">
      <w:pPr>
        <w:pStyle w:val="AllowPageBreak"/>
      </w:pPr>
    </w:p>
    <w:p w:rsidR="00000000" w:rsidRPr="00D96AEB" w:rsidP="00D96AEB">
      <w:pPr>
        <w:pStyle w:val="Heading1"/>
      </w:pPr>
      <w:bookmarkStart w:id="6" w:name="O_521285"/>
      <w:bookmarkEnd w:id="6"/>
      <w:r w:rsidRPr="00D96AEB">
        <w:t>Employability Skills Information</w:t>
      </w:r>
    </w:p>
    <w:p w:rsidR="00000000" w:rsidRPr="00D96AEB" w:rsidP="00D96AEB">
      <w:pPr>
        <w:pStyle w:val="BodyText"/>
      </w:pPr>
      <w:r w:rsidRPr="00D96AEB">
        <w:t>This unit contains employability skills</w:t>
      </w:r>
    </w:p>
    <w:p w:rsidR="00000000" w:rsidRPr="00D96AEB" w:rsidP="00D96AEB">
      <w:pPr>
        <w:pStyle w:val="AllowPageBreak"/>
      </w:pPr>
    </w:p>
    <w:p w:rsidR="00000000" w:rsidRPr="00D96AEB" w:rsidP="00D96AEB">
      <w:pPr>
        <w:pStyle w:val="Heading1"/>
      </w:pPr>
      <w:bookmarkStart w:id="7" w:name="O_521286"/>
      <w:bookmarkEnd w:id="7"/>
      <w:r w:rsidRPr="00D96AEB">
        <w:t>Elements and Performance Criteria Pre-Content</w:t>
      </w:r>
    </w:p>
    <w:tbl>
      <w:tblPr>
        <w:tblW w:w="9214" w:type="dxa"/>
        <w:tblLayout w:type="fixed"/>
        <w:tblCellMar>
          <w:left w:w="62" w:type="dxa"/>
          <w:right w:w="62" w:type="dxa"/>
        </w:tblCellMar>
        <w:tblLook w:val="0000"/>
      </w:tblPr>
      <w:tblGrid>
        <w:gridCol w:w="2694"/>
        <w:gridCol w:w="6520"/>
      </w:tblGrid>
      <w:tr w:rsidTr="00D96AEB">
        <w:tblPrEx>
          <w:tblW w:w="9214" w:type="dxa"/>
          <w:tblLayout w:type="fixed"/>
          <w:tblCellMar>
            <w:left w:w="62" w:type="dxa"/>
            <w:right w:w="62" w:type="dxa"/>
          </w:tblCellMar>
          <w:tblLook w:val="0000"/>
        </w:tblPrEx>
        <w:tc>
          <w:tcPr>
            <w:tcW w:w="2694" w:type="dxa"/>
            <w:tcBorders>
              <w:top w:val="nil"/>
              <w:left w:val="nil"/>
              <w:bottom w:val="nil"/>
              <w:right w:val="nil"/>
            </w:tcBorders>
            <w:tcMar>
              <w:top w:w="0" w:type="dxa"/>
              <w:left w:w="62" w:type="dxa"/>
              <w:bottom w:w="0" w:type="dxa"/>
              <w:right w:w="62" w:type="dxa"/>
            </w:tcMar>
          </w:tcPr>
          <w:p w:rsidR="00000000" w:rsidP="00D96AEB">
            <w:pPr>
              <w:pStyle w:val="BodyText"/>
              <w:rPr>
                <w:lang w:val="en-NZ"/>
              </w:rPr>
            </w:pPr>
            <w:r w:rsidRPr="00D96AEB">
              <w:t>Elements describe the essential outcomes of a unit of competency.</w:t>
            </w:r>
          </w:p>
        </w:tc>
        <w:tc>
          <w:tcPr>
            <w:tcW w:w="6520" w:type="dxa"/>
            <w:tcBorders>
              <w:top w:val="nil"/>
              <w:left w:val="nil"/>
              <w:bottom w:val="nil"/>
              <w:right w:val="nil"/>
            </w:tcBorders>
            <w:tcMar>
              <w:top w:w="0" w:type="dxa"/>
              <w:left w:w="62" w:type="dxa"/>
              <w:bottom w:w="0" w:type="dxa"/>
              <w:right w:w="62" w:type="dxa"/>
            </w:tcMar>
          </w:tcPr>
          <w:p w:rsidR="00000000" w:rsidRPr="00D96AEB" w:rsidP="00D96AEB">
            <w:pPr>
              <w:pStyle w:val="BodyText"/>
            </w:pPr>
            <w:r w:rsidRPr="00D96AEB">
              <w:t>Performance criteria descr</w:t>
            </w:r>
            <w:r w:rsidRPr="00D96AEB">
              <w:t>ibe the performance needed to demonstrate achievement of the element. Where bold italicised text is used, further information is detailed in the required skills and knowledge section and the range statement. Assessment of performance is to be consistent wi</w:t>
            </w:r>
            <w:r w:rsidRPr="00D96AEB">
              <w:t>th the evidence guide.</w:t>
            </w:r>
          </w:p>
        </w:tc>
      </w:tr>
    </w:tbl>
    <w:p w:rsidR="00000000" w:rsidRPr="00D96AEB" w:rsidP="00D96AEB">
      <w:pPr>
        <w:pStyle w:val="BodyText"/>
      </w:pPr>
    </w:p>
    <w:p w:rsidR="00000000" w:rsidRPr="00D96AEB" w:rsidP="00D96AEB">
      <w:pPr>
        <w:pStyle w:val="AllowPageBreak"/>
      </w:pPr>
    </w:p>
    <w:p w:rsidR="00000000" w:rsidRPr="00D96AEB" w:rsidP="00D96AEB">
      <w:pPr>
        <w:pStyle w:val="Heading1"/>
      </w:pPr>
      <w:bookmarkStart w:id="8" w:name="O_521287"/>
      <w:bookmarkEnd w:id="8"/>
      <w:r w:rsidRPr="00D96AEB">
        <w:t>Elements and Performance Criteria</w:t>
      </w:r>
    </w:p>
    <w:tbl>
      <w:tblPr>
        <w:tblW w:w="9214" w:type="dxa"/>
        <w:tblLayout w:type="fixed"/>
        <w:tblCellMar>
          <w:left w:w="62" w:type="dxa"/>
          <w:right w:w="62" w:type="dxa"/>
        </w:tblCellMar>
        <w:tblLook w:val="0000"/>
      </w:tblPr>
      <w:tblGrid>
        <w:gridCol w:w="2694"/>
        <w:gridCol w:w="6520"/>
      </w:tblGrid>
      <w:tr w:rsidTr="00DD6846">
        <w:tblPrEx>
          <w:tblW w:w="9214" w:type="dxa"/>
          <w:tblLayout w:type="fixed"/>
          <w:tblCellMar>
            <w:left w:w="62" w:type="dxa"/>
            <w:right w:w="62" w:type="dxa"/>
          </w:tblCellMar>
          <w:tblLook w:val="0000"/>
        </w:tblPrEx>
        <w:trPr>
          <w:tblHeader/>
        </w:trPr>
        <w:tc>
          <w:tcPr>
            <w:tcW w:w="2694" w:type="dxa"/>
            <w:tcBorders>
              <w:top w:val="nil"/>
              <w:left w:val="nil"/>
              <w:bottom w:val="nil"/>
              <w:right w:val="nil"/>
            </w:tcBorders>
            <w:tcMar>
              <w:top w:w="0" w:type="dxa"/>
              <w:left w:w="62" w:type="dxa"/>
              <w:bottom w:w="0" w:type="dxa"/>
              <w:right w:w="62" w:type="dxa"/>
            </w:tcMar>
          </w:tcPr>
          <w:p w:rsidR="00000000" w:rsidP="00D96AEB">
            <w:pPr>
              <w:pStyle w:val="TableHeading"/>
              <w:rPr>
                <w:lang w:val="en-NZ"/>
              </w:rPr>
            </w:pPr>
            <w:r w:rsidRPr="00D96AEB">
              <w:t>ELEMENT</w:t>
            </w:r>
          </w:p>
        </w:tc>
        <w:tc>
          <w:tcPr>
            <w:tcW w:w="6520" w:type="dxa"/>
            <w:tcBorders>
              <w:top w:val="nil"/>
              <w:left w:val="nil"/>
              <w:bottom w:val="nil"/>
              <w:right w:val="nil"/>
            </w:tcBorders>
            <w:tcMar>
              <w:top w:w="0" w:type="dxa"/>
              <w:left w:w="62" w:type="dxa"/>
              <w:bottom w:w="0" w:type="dxa"/>
              <w:right w:w="62" w:type="dxa"/>
            </w:tcMar>
          </w:tcPr>
          <w:p w:rsidR="00000000" w:rsidP="00D96AEB">
            <w:pPr>
              <w:pStyle w:val="TableHeading"/>
              <w:rPr>
                <w:lang w:val="en-NZ"/>
              </w:rPr>
            </w:pPr>
            <w:r w:rsidRPr="00D96AEB">
              <w:t>PERFORMANCE CRITERIA</w:t>
            </w:r>
          </w:p>
        </w:tc>
      </w:tr>
      <w:tr w:rsidTr="00DD6846">
        <w:tblPrEx>
          <w:tblW w:w="9214" w:type="dxa"/>
          <w:tblLayout w:type="fixed"/>
          <w:tblCellMar>
            <w:left w:w="62" w:type="dxa"/>
            <w:right w:w="62" w:type="dxa"/>
          </w:tblCellMar>
          <w:tblLook w:val="0000"/>
        </w:tblPrEx>
        <w:tc>
          <w:tcPr>
            <w:tcW w:w="2694" w:type="dxa"/>
            <w:tcBorders>
              <w:top w:val="nil"/>
              <w:left w:val="nil"/>
              <w:bottom w:val="nil"/>
              <w:right w:val="nil"/>
            </w:tcBorders>
            <w:tcMar>
              <w:top w:w="0" w:type="dxa"/>
              <w:left w:w="62" w:type="dxa"/>
              <w:bottom w:w="0" w:type="dxa"/>
              <w:right w:w="62" w:type="dxa"/>
            </w:tcMar>
          </w:tcPr>
          <w:p w:rsidR="00000000" w:rsidP="00D96AEB">
            <w:pPr>
              <w:pStyle w:val="List"/>
              <w:rPr>
                <w:lang w:val="en-NZ"/>
              </w:rPr>
            </w:pPr>
            <w:r w:rsidRPr="00D96AEB">
              <w:t>1.</w:t>
            </w:r>
            <w:r w:rsidRPr="00D96AEB">
              <w:tab/>
              <w:t>Define Australian history from an Aboriginal cultural and Community perspective</w:t>
            </w:r>
          </w:p>
        </w:tc>
        <w:tc>
          <w:tcPr>
            <w:tcW w:w="6520" w:type="dxa"/>
            <w:tcBorders>
              <w:top w:val="nil"/>
              <w:left w:val="nil"/>
              <w:bottom w:val="nil"/>
              <w:right w:val="nil"/>
            </w:tcBorders>
            <w:tcMar>
              <w:top w:w="0" w:type="dxa"/>
              <w:left w:w="62" w:type="dxa"/>
              <w:bottom w:w="0" w:type="dxa"/>
              <w:right w:w="62" w:type="dxa"/>
            </w:tcMar>
          </w:tcPr>
          <w:p w:rsidR="00000000" w:rsidRPr="00D96AEB" w:rsidP="00D96AEB">
            <w:pPr>
              <w:pStyle w:val="List"/>
            </w:pPr>
            <w:r w:rsidRPr="00D96AEB">
              <w:t>1.1</w:t>
            </w:r>
            <w:r w:rsidRPr="00D96AEB">
              <w:tab/>
            </w:r>
            <w:r w:rsidRPr="00D96AEB">
              <w:t>Major characteristics of the social structures of Aboriginal societies are determined</w:t>
            </w:r>
          </w:p>
          <w:p w:rsidR="00000000" w:rsidRPr="00D96AEB" w:rsidP="00D96AEB">
            <w:pPr>
              <w:pStyle w:val="List"/>
            </w:pPr>
            <w:r w:rsidRPr="00D96AEB">
              <w:t>1.2</w:t>
            </w:r>
            <w:r w:rsidRPr="00D96AEB">
              <w:tab/>
              <w:t>Impacts on Aboriginal social structures following European colonisation are identified</w:t>
            </w:r>
          </w:p>
          <w:p w:rsidR="00000000" w:rsidRPr="00D96AEB" w:rsidP="00D96AEB">
            <w:pPr>
              <w:pStyle w:val="List"/>
            </w:pPr>
            <w:r w:rsidRPr="00D96AEB">
              <w:t>1.3</w:t>
            </w:r>
            <w:r w:rsidRPr="00D96AEB">
              <w:tab/>
              <w:t>Examples of resistance to European colonisation are recorded</w:t>
            </w:r>
          </w:p>
          <w:p w:rsidR="00000000" w:rsidRPr="00D96AEB" w:rsidP="00D96AEB">
            <w:pPr>
              <w:pStyle w:val="List"/>
            </w:pPr>
            <w:r w:rsidRPr="00D96AEB">
              <w:t>1.4</w:t>
            </w:r>
            <w:r w:rsidRPr="00D96AEB">
              <w:tab/>
              <w:t>Positive a</w:t>
            </w:r>
            <w:r w:rsidRPr="00D96AEB">
              <w:t>nd negative effects of European colonisation are documented</w:t>
            </w:r>
          </w:p>
          <w:p w:rsidR="00000000" w:rsidRPr="00D96AEB" w:rsidP="00D96AEB">
            <w:pPr>
              <w:pStyle w:val="List"/>
            </w:pPr>
            <w:r w:rsidRPr="00D96AEB">
              <w:t>1.5</w:t>
            </w:r>
            <w:r w:rsidRPr="00D96AEB">
              <w:tab/>
              <w:t>Various approaches and resources which can be employed in order to identify cultural authorities for specific Country and Community are determined</w:t>
            </w:r>
          </w:p>
          <w:p w:rsidR="00000000" w:rsidP="00D96AEB">
            <w:pPr>
              <w:pStyle w:val="List"/>
              <w:rPr>
                <w:lang w:val="en-NZ"/>
              </w:rPr>
            </w:pPr>
            <w:r w:rsidRPr="00D96AEB">
              <w:t>1.6</w:t>
            </w:r>
            <w:r w:rsidRPr="00D96AEB">
              <w:tab/>
              <w:t xml:space="preserve">Contemporary Aboriginal social, economic </w:t>
            </w:r>
            <w:r w:rsidRPr="00D96AEB">
              <w:t>and political trends are researched in the context of Community life</w:t>
            </w:r>
          </w:p>
        </w:tc>
      </w:tr>
      <w:tr w:rsidTr="00DD6846">
        <w:tblPrEx>
          <w:tblW w:w="9214" w:type="dxa"/>
          <w:tblLayout w:type="fixed"/>
          <w:tblCellMar>
            <w:left w:w="62" w:type="dxa"/>
            <w:right w:w="62" w:type="dxa"/>
          </w:tblCellMar>
          <w:tblLook w:val="0000"/>
        </w:tblPrEx>
        <w:tc>
          <w:tcPr>
            <w:tcW w:w="2694" w:type="dxa"/>
            <w:tcBorders>
              <w:top w:val="nil"/>
              <w:left w:val="nil"/>
              <w:bottom w:val="nil"/>
              <w:right w:val="nil"/>
            </w:tcBorders>
            <w:tcMar>
              <w:top w:w="0" w:type="dxa"/>
              <w:left w:w="62" w:type="dxa"/>
              <w:bottom w:w="0" w:type="dxa"/>
              <w:right w:w="62" w:type="dxa"/>
            </w:tcMar>
          </w:tcPr>
          <w:p w:rsidR="00000000" w:rsidP="00D96AEB">
            <w:pPr>
              <w:pStyle w:val="List"/>
              <w:rPr>
                <w:lang w:val="en-NZ"/>
              </w:rPr>
            </w:pPr>
            <w:r w:rsidRPr="00D96AEB">
              <w:t>2.</w:t>
            </w:r>
            <w:r w:rsidRPr="00D96AEB">
              <w:tab/>
              <w:t>Summarise actions of governments to deal with the effects of European colonisation on Aboriginal people</w:t>
            </w:r>
          </w:p>
        </w:tc>
        <w:tc>
          <w:tcPr>
            <w:tcW w:w="6520" w:type="dxa"/>
            <w:tcBorders>
              <w:top w:val="nil"/>
              <w:left w:val="nil"/>
              <w:bottom w:val="nil"/>
              <w:right w:val="nil"/>
            </w:tcBorders>
            <w:tcMar>
              <w:top w:w="0" w:type="dxa"/>
              <w:left w:w="62" w:type="dxa"/>
              <w:bottom w:w="0" w:type="dxa"/>
              <w:right w:w="62" w:type="dxa"/>
            </w:tcMar>
          </w:tcPr>
          <w:p w:rsidR="00000000" w:rsidRPr="00D96AEB" w:rsidP="00D96AEB">
            <w:pPr>
              <w:pStyle w:val="List"/>
            </w:pPr>
            <w:r w:rsidRPr="00D96AEB">
              <w:t>2.1</w:t>
            </w:r>
            <w:r w:rsidRPr="00D96AEB">
              <w:tab/>
              <w:t>Major legislation and/or policy directions of governments that affect Abori</w:t>
            </w:r>
            <w:r w:rsidRPr="00D96AEB">
              <w:t>ginal people are identified</w:t>
            </w:r>
          </w:p>
          <w:p w:rsidR="00000000" w:rsidRPr="00D96AEB" w:rsidP="00D96AEB">
            <w:pPr>
              <w:pStyle w:val="List"/>
            </w:pPr>
            <w:r w:rsidRPr="00D96AEB">
              <w:t>2.2</w:t>
            </w:r>
            <w:r w:rsidRPr="00D96AEB">
              <w:tab/>
              <w:t>Legal parameters relating to Aboriginal land ownership, acquisition and management are defined</w:t>
            </w:r>
          </w:p>
          <w:p w:rsidR="00000000" w:rsidP="00D96AEB">
            <w:pPr>
              <w:pStyle w:val="List"/>
              <w:rPr>
                <w:lang w:val="en-NZ"/>
              </w:rPr>
            </w:pPr>
            <w:r w:rsidRPr="00D96AEB">
              <w:t>2.3</w:t>
            </w:r>
            <w:r w:rsidRPr="00D96AEB">
              <w:tab/>
              <w:t>Impacts of laws and/or policies on social structures of Aboriginal peoples are documented</w:t>
            </w:r>
          </w:p>
        </w:tc>
      </w:tr>
      <w:tr w:rsidTr="00DD6846">
        <w:tblPrEx>
          <w:tblW w:w="9214" w:type="dxa"/>
          <w:tblLayout w:type="fixed"/>
          <w:tblCellMar>
            <w:left w:w="62" w:type="dxa"/>
            <w:right w:w="62" w:type="dxa"/>
          </w:tblCellMar>
          <w:tblLook w:val="0000"/>
        </w:tblPrEx>
        <w:tc>
          <w:tcPr>
            <w:tcW w:w="2694" w:type="dxa"/>
            <w:tcBorders>
              <w:top w:val="nil"/>
              <w:left w:val="nil"/>
              <w:bottom w:val="nil"/>
              <w:right w:val="nil"/>
            </w:tcBorders>
            <w:tcMar>
              <w:top w:w="0" w:type="dxa"/>
              <w:left w:w="62" w:type="dxa"/>
              <w:bottom w:w="0" w:type="dxa"/>
              <w:right w:w="62" w:type="dxa"/>
            </w:tcMar>
          </w:tcPr>
          <w:p w:rsidR="00000000" w:rsidP="00D96AEB">
            <w:pPr>
              <w:pStyle w:val="List"/>
              <w:rPr>
                <w:lang w:val="en-NZ"/>
              </w:rPr>
            </w:pPr>
            <w:r w:rsidRPr="00D96AEB">
              <w:t>3.</w:t>
            </w:r>
            <w:r w:rsidRPr="00D96AEB">
              <w:tab/>
            </w:r>
            <w:r w:rsidRPr="00D96AEB">
              <w:t>Outline strategies for working with Aboriginal organisations and people</w:t>
            </w:r>
          </w:p>
        </w:tc>
        <w:tc>
          <w:tcPr>
            <w:tcW w:w="6520" w:type="dxa"/>
            <w:tcBorders>
              <w:top w:val="nil"/>
              <w:left w:val="nil"/>
              <w:bottom w:val="nil"/>
              <w:right w:val="nil"/>
            </w:tcBorders>
            <w:tcMar>
              <w:top w:w="0" w:type="dxa"/>
              <w:left w:w="62" w:type="dxa"/>
              <w:bottom w:w="0" w:type="dxa"/>
              <w:right w:w="62" w:type="dxa"/>
            </w:tcMar>
          </w:tcPr>
          <w:p w:rsidR="00000000" w:rsidRPr="00D96AEB" w:rsidP="00D96AEB">
            <w:pPr>
              <w:pStyle w:val="List"/>
            </w:pPr>
            <w:r w:rsidRPr="00D96AEB">
              <w:t>3.1</w:t>
            </w:r>
            <w:r w:rsidRPr="00D96AEB">
              <w:tab/>
              <w:t>Differences in relation to working as an Aboriginal person (or non-Aboriginal person) within Aboriginal and non-Aboriginal communities and organisations are acknowledged and consid</w:t>
            </w:r>
            <w:r w:rsidRPr="00D96AEB">
              <w:t>ered</w:t>
            </w:r>
          </w:p>
          <w:p w:rsidR="00000000" w:rsidRPr="00D96AEB" w:rsidP="00D96AEB">
            <w:pPr>
              <w:pStyle w:val="List"/>
            </w:pPr>
            <w:r w:rsidRPr="00D96AEB">
              <w:t>3.2</w:t>
            </w:r>
            <w:r w:rsidRPr="00D96AEB">
              <w:tab/>
              <w:t>Aboriginal ways of working are identified</w:t>
            </w:r>
          </w:p>
          <w:p w:rsidR="00000000" w:rsidRPr="00D96AEB" w:rsidP="00D96AEB">
            <w:pPr>
              <w:pStyle w:val="List"/>
            </w:pPr>
            <w:r w:rsidRPr="00D96AEB">
              <w:t>3.3</w:t>
            </w:r>
            <w:r w:rsidRPr="00D96AEB">
              <w:tab/>
              <w:t>Potential conflicts are recognised</w:t>
            </w:r>
          </w:p>
          <w:p w:rsidR="00000000" w:rsidP="00D96AEB">
            <w:pPr>
              <w:pStyle w:val="List"/>
              <w:rPr>
                <w:lang w:val="en-NZ"/>
              </w:rPr>
            </w:pPr>
            <w:r w:rsidRPr="00D96AEB">
              <w:t>3.4</w:t>
            </w:r>
            <w:r w:rsidRPr="00D96AEB">
              <w:rPr>
                <w:rStyle w:val="BoldandItalics"/>
              </w:rPr>
              <w:tab/>
              <w:t>Strategies</w:t>
            </w:r>
            <w:r w:rsidRPr="00D96AEB">
              <w:t xml:space="preserve"> for minimisation of conflicts are identified and implemented</w:t>
            </w:r>
          </w:p>
        </w:tc>
      </w:tr>
      <w:tr w:rsidTr="00DD6846">
        <w:tblPrEx>
          <w:tblW w:w="9214" w:type="dxa"/>
          <w:tblLayout w:type="fixed"/>
          <w:tblCellMar>
            <w:left w:w="62" w:type="dxa"/>
            <w:right w:w="62" w:type="dxa"/>
          </w:tblCellMar>
          <w:tblLook w:val="0000"/>
        </w:tblPrEx>
        <w:tc>
          <w:tcPr>
            <w:tcW w:w="2694" w:type="dxa"/>
            <w:tcBorders>
              <w:top w:val="nil"/>
              <w:left w:val="nil"/>
              <w:bottom w:val="nil"/>
              <w:right w:val="nil"/>
            </w:tcBorders>
            <w:tcMar>
              <w:top w:w="0" w:type="dxa"/>
              <w:left w:w="62" w:type="dxa"/>
              <w:bottom w:w="0" w:type="dxa"/>
              <w:right w:w="62" w:type="dxa"/>
            </w:tcMar>
          </w:tcPr>
          <w:p w:rsidR="00000000" w:rsidP="00D96AEB">
            <w:pPr>
              <w:pStyle w:val="List"/>
              <w:rPr>
                <w:lang w:val="en-NZ"/>
              </w:rPr>
            </w:pPr>
            <w:r w:rsidRPr="00D96AEB">
              <w:t>4.</w:t>
            </w:r>
            <w:r w:rsidRPr="00D96AEB">
              <w:tab/>
              <w:t>Operate effectively in a job role working with an Aboriginal Community or organisation</w:t>
            </w:r>
          </w:p>
        </w:tc>
        <w:tc>
          <w:tcPr>
            <w:tcW w:w="6520" w:type="dxa"/>
            <w:tcBorders>
              <w:top w:val="nil"/>
              <w:left w:val="nil"/>
              <w:bottom w:val="nil"/>
              <w:right w:val="nil"/>
            </w:tcBorders>
            <w:tcMar>
              <w:top w:w="0" w:type="dxa"/>
              <w:left w:w="62" w:type="dxa"/>
              <w:bottom w:w="0" w:type="dxa"/>
              <w:right w:w="62" w:type="dxa"/>
            </w:tcMar>
          </w:tcPr>
          <w:p w:rsidR="00000000" w:rsidRPr="00D96AEB" w:rsidP="00D96AEB">
            <w:pPr>
              <w:pStyle w:val="List"/>
            </w:pPr>
            <w:r w:rsidRPr="00D96AEB">
              <w:t>4.1</w:t>
            </w:r>
            <w:r w:rsidRPr="00D96AEB">
              <w:rPr>
                <w:rStyle w:val="BoldandItalics"/>
              </w:rPr>
              <w:tab/>
              <w:t>Aboriginal</w:t>
            </w:r>
            <w:r w:rsidRPr="00D96AEB">
              <w:t xml:space="preserve"> </w:t>
            </w:r>
            <w:r w:rsidRPr="00D96AEB">
              <w:rPr>
                <w:rStyle w:val="BoldandItalics"/>
              </w:rPr>
              <w:t>cultural protocols</w:t>
            </w:r>
            <w:r w:rsidRPr="00D96AEB">
              <w:t xml:space="preserve"> are observed according to Community and/or organisational guidelines and procedures</w:t>
            </w:r>
          </w:p>
          <w:p w:rsidR="00000000" w:rsidRPr="00D96AEB" w:rsidP="00D96AEB">
            <w:pPr>
              <w:pStyle w:val="List"/>
            </w:pPr>
            <w:r w:rsidRPr="00D96AEB">
              <w:t>4.2</w:t>
            </w:r>
            <w:r w:rsidRPr="00D96AEB">
              <w:tab/>
              <w:t>Community traditions and customs are respected according to workplace policies and procedures</w:t>
            </w:r>
          </w:p>
          <w:p w:rsidR="00000000" w:rsidRPr="00D96AEB" w:rsidP="00D96AEB">
            <w:pPr>
              <w:pStyle w:val="List"/>
            </w:pPr>
            <w:r w:rsidRPr="00D96AEB">
              <w:t>4.3</w:t>
            </w:r>
            <w:r w:rsidRPr="00D96AEB">
              <w:tab/>
              <w:t xml:space="preserve">Productive relationships are built </w:t>
            </w:r>
            <w:r w:rsidRPr="00D96AEB">
              <w:t>and maintained within the Aboriginal Community and organisation</w:t>
            </w:r>
          </w:p>
          <w:p w:rsidR="00000000" w:rsidRPr="00D96AEB" w:rsidP="00D96AEB">
            <w:pPr>
              <w:pStyle w:val="List"/>
            </w:pPr>
            <w:r w:rsidRPr="00D96AEB">
              <w:t>4.4</w:t>
            </w:r>
            <w:r w:rsidRPr="00D96AEB">
              <w:tab/>
              <w:t>Mutual respect is created and given as evidenced by effective engagement and shared outcomes with the Community and/or organisation over time</w:t>
            </w:r>
          </w:p>
          <w:p w:rsidR="00000000" w:rsidRPr="00D96AEB" w:rsidP="00D96AEB">
            <w:pPr>
              <w:pStyle w:val="List"/>
            </w:pPr>
            <w:r w:rsidRPr="00D96AEB">
              <w:t>4.5</w:t>
            </w:r>
            <w:r w:rsidRPr="00D96AEB">
              <w:tab/>
              <w:t xml:space="preserve">Feedback on personal </w:t>
            </w:r>
            <w:r w:rsidRPr="00D96AEB">
              <w:rPr>
                <w:rStyle w:val="BoldandItalics"/>
              </w:rPr>
              <w:t xml:space="preserve">work </w:t>
            </w:r>
            <w:r w:rsidRPr="00D96AEB">
              <w:t>performance, int</w:t>
            </w:r>
            <w:r w:rsidRPr="00D96AEB">
              <w:t>erpersonal ways of relating and adherence to Aboriginal cultural protocols is valued and obtained</w:t>
            </w:r>
          </w:p>
        </w:tc>
      </w:tr>
    </w:tbl>
    <w:p w:rsidR="00000000" w:rsidRPr="00D96AEB" w:rsidP="00D96AEB">
      <w:pPr>
        <w:pStyle w:val="BodyText"/>
      </w:pPr>
    </w:p>
    <w:p w:rsidR="00000000" w:rsidRPr="00D96AEB" w:rsidP="00D96AEB">
      <w:pPr>
        <w:pStyle w:val="AllowPageBreak"/>
      </w:pPr>
    </w:p>
    <w:p w:rsidR="00000000" w:rsidRPr="00D96AEB" w:rsidP="00D96AEB">
      <w:pPr>
        <w:pStyle w:val="Heading1"/>
      </w:pPr>
      <w:bookmarkStart w:id="9" w:name="O_521288"/>
      <w:bookmarkEnd w:id="9"/>
      <w:r w:rsidRPr="00D96AEB">
        <w:t>Required Skills and Knowledge</w:t>
      </w:r>
    </w:p>
    <w:tbl>
      <w:tblPr>
        <w:tblW w:w="0" w:type="auto"/>
        <w:tblCellMar>
          <w:left w:w="62" w:type="dxa"/>
          <w:right w:w="62" w:type="dxa"/>
        </w:tblCellMar>
        <w:tblLook w:val="0000"/>
      </w:tblPr>
      <w:tblGrid>
        <w:gridCol w:w="9196"/>
      </w:tblGrid>
      <w:tr w:rsidTr="00DD684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D96AEB" w:rsidP="00D96AEB">
            <w:pPr>
              <w:pStyle w:val="TableHeading"/>
            </w:pPr>
            <w:r w:rsidRPr="00D96AEB">
              <w:t>Required skills include:</w:t>
            </w:r>
          </w:p>
          <w:p w:rsidR="00000000" w:rsidRPr="00D96AEB" w:rsidP="00D96AEB">
            <w:pPr>
              <w:pStyle w:val="BodyText"/>
            </w:pPr>
            <w:r w:rsidRPr="00D96AEB">
              <w:rPr>
                <w:rStyle w:val="SpecialBold"/>
              </w:rPr>
              <w:t>Ability to:</w:t>
            </w:r>
          </w:p>
          <w:p w:rsidR="00000000" w:rsidRPr="00D96AEB" w:rsidP="00D96AEB">
            <w:pPr>
              <w:pStyle w:val="ListBullet"/>
            </w:pPr>
            <w:r w:rsidRPr="00D96AEB">
              <w:t>gather information about Aboriginal and non-Aboriginal social structures</w:t>
            </w:r>
          </w:p>
          <w:p w:rsidR="00000000" w:rsidRPr="00D96AEB" w:rsidP="00D96AEB">
            <w:pPr>
              <w:pStyle w:val="ListBullet"/>
            </w:pPr>
            <w:r w:rsidRPr="00D96AEB">
              <w:t>summarise actions of governments to deal with the effects of European colonisation</w:t>
            </w:r>
          </w:p>
          <w:p w:rsidR="00000000" w:rsidRPr="00D96AEB" w:rsidP="00D96AEB">
            <w:pPr>
              <w:pStyle w:val="ListBullet"/>
            </w:pPr>
            <w:r w:rsidRPr="00D96AEB">
              <w:t>deal with personal negative responses/reactions in a positive way</w:t>
            </w:r>
          </w:p>
          <w:p w:rsidR="00000000" w:rsidRPr="00D96AEB" w:rsidP="00D96AEB">
            <w:pPr>
              <w:pStyle w:val="ListBullet"/>
            </w:pPr>
            <w:r w:rsidRPr="00D96AEB">
              <w:t xml:space="preserve">implement strategies that support </w:t>
            </w:r>
            <w:r w:rsidRPr="00D96AEB">
              <w:t>the concept/implementation of Aboriginal management (principles)</w:t>
            </w:r>
          </w:p>
          <w:p w:rsidR="00000000" w:rsidRPr="00D96AEB" w:rsidP="00D96AEB">
            <w:pPr>
              <w:pStyle w:val="ListBullet"/>
            </w:pPr>
            <w:r w:rsidRPr="00D96AEB">
              <w:t>understand and engage effectively in mediation and conflict resolution</w:t>
            </w:r>
          </w:p>
          <w:p w:rsidR="00000000" w:rsidRPr="00D96AEB" w:rsidP="00D96AEB">
            <w:pPr>
              <w:pStyle w:val="ListBullet"/>
            </w:pPr>
            <w:r w:rsidRPr="00D96AEB">
              <w:t>operate effectively within an Aboriginal Community or organisational job role</w:t>
            </w:r>
          </w:p>
          <w:p w:rsidR="00000000" w:rsidRPr="00D96AEB" w:rsidP="00D96AEB">
            <w:pPr>
              <w:pStyle w:val="ListBullet"/>
            </w:pPr>
            <w:r w:rsidRPr="00D96AEB">
              <w:t xml:space="preserve">use interpersonal skills to work with and </w:t>
            </w:r>
            <w:r w:rsidRPr="00D96AEB">
              <w:t>relate to people from a range of cultural, social and religious backgrounds and with a range of physical and mental abilities</w:t>
            </w:r>
          </w:p>
          <w:p w:rsidR="00000000" w:rsidRPr="00D96AEB" w:rsidP="00D96AEB">
            <w:pPr>
              <w:pStyle w:val="ListBullet"/>
            </w:pPr>
            <w:r w:rsidRPr="00D96AEB">
              <w:t>apply sustainable environmental practices</w:t>
            </w:r>
          </w:p>
          <w:p w:rsidR="00000000" w:rsidP="00D96AEB">
            <w:pPr>
              <w:pStyle w:val="ListBullet"/>
              <w:rPr>
                <w:lang w:val="en-NZ"/>
              </w:rPr>
            </w:pPr>
            <w:r w:rsidRPr="00D96AEB">
              <w:t>apply workplace health and safety requirements</w:t>
            </w:r>
          </w:p>
        </w:tc>
      </w:tr>
      <w:tr w:rsidTr="00DD684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D96AEB" w:rsidP="00D96AEB">
            <w:pPr>
              <w:pStyle w:val="TableHeading"/>
            </w:pPr>
            <w:r w:rsidRPr="00D96AEB">
              <w:t>Required knowledge includes:</w:t>
            </w:r>
          </w:p>
          <w:p w:rsidR="00000000" w:rsidRPr="00D96AEB" w:rsidP="00D96AEB">
            <w:pPr>
              <w:pStyle w:val="BodyText"/>
            </w:pPr>
            <w:r w:rsidRPr="00D96AEB">
              <w:rPr>
                <w:rStyle w:val="SpecialBold"/>
              </w:rPr>
              <w:t>Knowledge o</w:t>
            </w:r>
            <w:r w:rsidRPr="00D96AEB">
              <w:rPr>
                <w:rStyle w:val="SpecialBold"/>
              </w:rPr>
              <w:t>f:</w:t>
            </w:r>
          </w:p>
          <w:p w:rsidR="00000000" w:rsidRPr="00D96AEB" w:rsidP="00D96AEB">
            <w:pPr>
              <w:pStyle w:val="ListBullet"/>
            </w:pPr>
            <w:r w:rsidRPr="00D96AEB">
              <w:t>Aboriginal history, cultural values and interpersonal and Community protocols</w:t>
            </w:r>
          </w:p>
          <w:p w:rsidR="00000000" w:rsidRPr="00D96AEB" w:rsidP="00D96AEB">
            <w:pPr>
              <w:pStyle w:val="ListBullet"/>
            </w:pPr>
            <w:r w:rsidRPr="00D96AEB">
              <w:t>authentic and authoritative sources for Aboriginal cultural information, material and expression able to be accessed and shared</w:t>
            </w:r>
          </w:p>
          <w:p w:rsidR="00000000" w:rsidRPr="00D96AEB" w:rsidP="00D96AEB">
            <w:pPr>
              <w:pStyle w:val="ListBullet"/>
            </w:pPr>
            <w:r w:rsidRPr="00D96AEB">
              <w:t>Aboriginal communities and social structures</w:t>
            </w:r>
          </w:p>
          <w:p w:rsidR="00000000" w:rsidRPr="00D96AEB" w:rsidP="00D96AEB">
            <w:pPr>
              <w:pStyle w:val="ListBullet"/>
            </w:pPr>
            <w:r w:rsidRPr="00D96AEB">
              <w:t>Aboriginal cultural customs and heritage</w:t>
            </w:r>
          </w:p>
          <w:p w:rsidR="00000000" w:rsidRPr="00D96AEB" w:rsidP="00D96AEB">
            <w:pPr>
              <w:pStyle w:val="ListBullet"/>
            </w:pPr>
            <w:r w:rsidRPr="00D96AEB">
              <w:t>history of British society and dispossession in Australia</w:t>
            </w:r>
          </w:p>
          <w:p w:rsidR="00000000" w:rsidRPr="00D96AEB" w:rsidP="00D96AEB">
            <w:pPr>
              <w:pStyle w:val="ListBullet"/>
            </w:pPr>
            <w:r w:rsidRPr="00D96AEB">
              <w:t>Aboriginal history and impact of European colonisation</w:t>
            </w:r>
          </w:p>
          <w:p w:rsidR="00000000" w:rsidRPr="00D96AEB" w:rsidP="00D96AEB">
            <w:pPr>
              <w:pStyle w:val="ListBullet"/>
            </w:pPr>
            <w:r w:rsidRPr="00D96AEB">
              <w:t>legislation and its impact on Aboriginal communities</w:t>
            </w:r>
          </w:p>
          <w:p w:rsidR="00000000" w:rsidRPr="00D96AEB" w:rsidP="00D96AEB">
            <w:pPr>
              <w:pStyle w:val="ListBullet"/>
            </w:pPr>
            <w:r w:rsidRPr="00D96AEB">
              <w:t>Cultural and Heritage Legislation or relevant NPW</w:t>
            </w:r>
            <w:r w:rsidRPr="00D96AEB">
              <w:t>S legislation</w:t>
            </w:r>
          </w:p>
        </w:tc>
      </w:tr>
    </w:tbl>
    <w:p w:rsidR="00000000" w:rsidRPr="00D96AEB" w:rsidP="00D96AEB">
      <w:pPr>
        <w:pStyle w:val="BodyText"/>
      </w:pPr>
    </w:p>
    <w:p w:rsidR="00000000" w:rsidRPr="00D96AEB" w:rsidP="00D96AEB">
      <w:pPr>
        <w:pStyle w:val="AllowPageBreak"/>
      </w:pPr>
    </w:p>
    <w:p w:rsidR="00000000" w:rsidRPr="00D96AEB" w:rsidP="00D96AEB">
      <w:pPr>
        <w:pStyle w:val="Heading1"/>
      </w:pPr>
      <w:bookmarkStart w:id="10" w:name="O_521289"/>
      <w:bookmarkEnd w:id="10"/>
      <w:r w:rsidRPr="00D96AEB">
        <w:t>Evidence Guide</w:t>
      </w:r>
    </w:p>
    <w:tbl>
      <w:tblPr>
        <w:tblW w:w="0" w:type="auto"/>
        <w:tblLayout w:type="fixed"/>
        <w:tblCellMar>
          <w:left w:w="62" w:type="dxa"/>
          <w:right w:w="62" w:type="dxa"/>
        </w:tblCellMar>
        <w:tblLook w:val="0000"/>
      </w:tblPr>
      <w:tblGrid>
        <w:gridCol w:w="3674"/>
        <w:gridCol w:w="5398"/>
      </w:tblGrid>
      <w:tr w:rsidTr="00D96AEB">
        <w:tblPrEx>
          <w:tblW w:w="0" w:type="auto"/>
          <w:tblLayout w:type="fixed"/>
          <w:tblCellMar>
            <w:left w:w="62" w:type="dxa"/>
            <w:right w:w="62" w:type="dxa"/>
          </w:tblCellMar>
          <w:tblLook w:val="0000"/>
        </w:tblPrEx>
        <w:tc>
          <w:tcPr>
            <w:tcW w:w="9072" w:type="dxa"/>
            <w:gridSpan w:val="2"/>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P="00D96AEB">
            <w:pPr>
              <w:pStyle w:val="BodyText"/>
              <w:rPr>
                <w:lang w:val="en-NZ"/>
              </w:rPr>
            </w:pPr>
            <w:r w:rsidRPr="00D96AEB">
              <w:t>The evidence guide provides advice on assessment and must be read in conjunction with the performance criteria, required skills and knowledge, range statement and the Assessment Guidelines for the Training Pa</w:t>
            </w:r>
            <w:r w:rsidRPr="00D96AEB">
              <w:t>ckage.</w:t>
            </w:r>
          </w:p>
        </w:tc>
      </w:tr>
      <w:tr w:rsidTr="00D96AEB">
        <w:tblPrEx>
          <w:tblW w:w="0" w:type="auto"/>
          <w:tblLayout w:type="fixed"/>
          <w:tblCellMar>
            <w:left w:w="62" w:type="dxa"/>
            <w:right w:w="62" w:type="dxa"/>
          </w:tblCellMar>
          <w:tblLook w:val="0000"/>
        </w:tblPrEx>
        <w:tc>
          <w:tcPr>
            <w:tcW w:w="3674"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P="00D96AEB">
            <w:pPr>
              <w:pStyle w:val="BodyText"/>
              <w:rPr>
                <w:lang w:val="en-NZ"/>
              </w:rPr>
            </w:pPr>
            <w:r w:rsidRPr="00D96AEB">
              <w:rPr>
                <w:rStyle w:val="SpecialBold"/>
              </w:rPr>
              <w:t>Overview of assessment</w:t>
            </w:r>
          </w:p>
        </w:tc>
        <w:tc>
          <w:tcPr>
            <w:tcW w:w="5398"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P="00D96AEB">
            <w:pPr>
              <w:pStyle w:val="BodyText"/>
              <w:rPr>
                <w:lang w:val="en-NZ"/>
              </w:rPr>
            </w:pPr>
          </w:p>
        </w:tc>
      </w:tr>
      <w:tr w:rsidTr="00D96AEB">
        <w:tblPrEx>
          <w:tblW w:w="0" w:type="auto"/>
          <w:tblLayout w:type="fixed"/>
          <w:tblCellMar>
            <w:left w:w="62" w:type="dxa"/>
            <w:right w:w="62" w:type="dxa"/>
          </w:tblCellMar>
          <w:tblLook w:val="0000"/>
        </w:tblPrEx>
        <w:tc>
          <w:tcPr>
            <w:tcW w:w="3674"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P="00D96AEB">
            <w:pPr>
              <w:pStyle w:val="BodyText"/>
              <w:rPr>
                <w:lang w:val="en-NZ"/>
              </w:rPr>
            </w:pPr>
            <w:r w:rsidRPr="00D96AEB">
              <w:rPr>
                <w:rStyle w:val="SpecialBold"/>
              </w:rPr>
              <w:t>Critical aspects for assessment and evidence required to demonstrate competency in this Unit</w:t>
            </w:r>
          </w:p>
        </w:tc>
        <w:tc>
          <w:tcPr>
            <w:tcW w:w="5398"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RPr="00D96AEB" w:rsidP="00D96AEB">
            <w:pPr>
              <w:pStyle w:val="BodyText"/>
            </w:pPr>
            <w:r w:rsidRPr="00D96AEB">
              <w:t>The delivery and assessment of training of this unit must comply with Community protocols and be carried out in consultation with and in participation with Traditional Owners and/or Elders and Custodians of that specific Country.</w:t>
            </w:r>
          </w:p>
          <w:p w:rsidR="00000000" w:rsidRPr="00D96AEB" w:rsidP="00D96AEB">
            <w:pPr>
              <w:pStyle w:val="BodyText"/>
            </w:pPr>
            <w:r w:rsidRPr="00D96AEB">
              <w:t>Candidates must demonstrat</w:t>
            </w:r>
            <w:r w:rsidRPr="00D96AEB">
              <w:t>e evidence of the ability to:</w:t>
            </w:r>
          </w:p>
          <w:p w:rsidR="00000000" w:rsidRPr="00D96AEB" w:rsidP="00D96AEB">
            <w:pPr>
              <w:pStyle w:val="ListBullet"/>
            </w:pPr>
            <w:r w:rsidRPr="00D96AEB">
              <w:t>work within and between Aboriginal and non-Aboriginal social structures</w:t>
            </w:r>
          </w:p>
          <w:p w:rsidR="00000000" w:rsidRPr="00D96AEB" w:rsidP="00D96AEB">
            <w:pPr>
              <w:pStyle w:val="ListBullet"/>
            </w:pPr>
            <w:r w:rsidRPr="00D96AEB">
              <w:t>apply an understanding of the perceptions and impacts of government action to deal with the effects of European colonisation within Aboriginal communitie</w:t>
            </w:r>
            <w:r w:rsidRPr="00D96AEB">
              <w:t>s</w:t>
            </w:r>
          </w:p>
          <w:p w:rsidR="00000000" w:rsidRPr="00D96AEB" w:rsidP="00D96AEB">
            <w:pPr>
              <w:pStyle w:val="ListBullet"/>
            </w:pPr>
            <w:r w:rsidRPr="00D96AEB">
              <w:t>demonstrate empathy and respect in working with Aboriginal communities and organisations</w:t>
            </w:r>
          </w:p>
          <w:p w:rsidR="00000000" w:rsidP="00D96AEB">
            <w:pPr>
              <w:pStyle w:val="ListBullet"/>
              <w:rPr>
                <w:lang w:val="en-NZ"/>
              </w:rPr>
            </w:pPr>
            <w:r w:rsidRPr="00D96AEB">
              <w:t xml:space="preserve">build effective and productive working relationships with Aboriginal people and communities </w:t>
            </w:r>
          </w:p>
        </w:tc>
      </w:tr>
      <w:tr w:rsidTr="00D96AEB">
        <w:tblPrEx>
          <w:tblW w:w="0" w:type="auto"/>
          <w:tblLayout w:type="fixed"/>
          <w:tblCellMar>
            <w:left w:w="62" w:type="dxa"/>
            <w:right w:w="62" w:type="dxa"/>
          </w:tblCellMar>
          <w:tblLook w:val="0000"/>
        </w:tblPrEx>
        <w:tc>
          <w:tcPr>
            <w:tcW w:w="3674"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P="00D96AEB">
            <w:pPr>
              <w:pStyle w:val="BodyText"/>
              <w:rPr>
                <w:lang w:val="en-NZ"/>
              </w:rPr>
            </w:pPr>
            <w:r w:rsidRPr="00D96AEB">
              <w:rPr>
                <w:rStyle w:val="SpecialBold"/>
              </w:rPr>
              <w:t>Context of and specific resources for assessment</w:t>
            </w:r>
          </w:p>
        </w:tc>
        <w:tc>
          <w:tcPr>
            <w:tcW w:w="5398"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RPr="00D96AEB" w:rsidP="00D96AEB">
            <w:pPr>
              <w:pStyle w:val="BodyText"/>
            </w:pPr>
            <w:r w:rsidRPr="00D96AEB">
              <w:t>Assessment events must be contextualised to meet the needs of the particular group, including:</w:t>
            </w:r>
          </w:p>
          <w:p w:rsidR="00000000" w:rsidRPr="00D96AEB" w:rsidP="00D96AEB">
            <w:pPr>
              <w:pStyle w:val="ListBullet"/>
            </w:pPr>
            <w:r w:rsidRPr="00D96AEB">
              <w:t xml:space="preserve">an Aboriginal Community, educational or workplace setting </w:t>
            </w:r>
          </w:p>
          <w:p w:rsidR="00000000" w:rsidRPr="00D96AEB" w:rsidP="00D96AEB">
            <w:pPr>
              <w:pStyle w:val="ListBullet"/>
            </w:pPr>
            <w:r w:rsidRPr="00D96AEB">
              <w:t>involvement of people approved by cultural authorities and/or Traditional Owners of the relevant loca</w:t>
            </w:r>
            <w:r w:rsidRPr="00D96AEB">
              <w:t xml:space="preserve">l Community </w:t>
            </w:r>
          </w:p>
          <w:p w:rsidR="00000000" w:rsidP="00D96AEB">
            <w:pPr>
              <w:pStyle w:val="ListBullet"/>
              <w:rPr>
                <w:lang w:val="en-NZ"/>
              </w:rPr>
            </w:pPr>
            <w:r w:rsidRPr="00D96AEB">
              <w:t>candidates who have gained relevant knowledge and skills through their life experience</w:t>
            </w:r>
          </w:p>
        </w:tc>
      </w:tr>
      <w:tr w:rsidTr="00D96AEB">
        <w:tblPrEx>
          <w:tblW w:w="0" w:type="auto"/>
          <w:tblLayout w:type="fixed"/>
          <w:tblCellMar>
            <w:left w:w="62" w:type="dxa"/>
            <w:right w:w="62" w:type="dxa"/>
          </w:tblCellMar>
          <w:tblLook w:val="0000"/>
        </w:tblPrEx>
        <w:tc>
          <w:tcPr>
            <w:tcW w:w="3674"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P="00D96AEB">
            <w:pPr>
              <w:pStyle w:val="BodyText"/>
              <w:rPr>
                <w:lang w:val="en-NZ"/>
              </w:rPr>
            </w:pPr>
            <w:r w:rsidRPr="00D96AEB">
              <w:rPr>
                <w:rStyle w:val="SpecialBold"/>
              </w:rPr>
              <w:t>Method of assessment</w:t>
            </w:r>
          </w:p>
        </w:tc>
        <w:tc>
          <w:tcPr>
            <w:tcW w:w="5398"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RPr="00D96AEB" w:rsidP="00D96AEB">
            <w:pPr>
              <w:pStyle w:val="BodyText"/>
            </w:pPr>
            <w:r w:rsidRPr="00D96AEB">
              <w:t>A range of assessment methods should be used to assess competency in following Aboriginal cultural protocols. The following examples a</w:t>
            </w:r>
            <w:r w:rsidRPr="00D96AEB">
              <w:t>re appropriate for this unit:</w:t>
            </w:r>
          </w:p>
          <w:p w:rsidR="00000000" w:rsidRPr="00D96AEB" w:rsidP="00D96AEB">
            <w:pPr>
              <w:pStyle w:val="ListBullet"/>
            </w:pPr>
            <w:r w:rsidRPr="00D96AEB">
              <w:t>observation of the candidate relating to and engaging Aboriginal persons and Aboriginal Community</w:t>
            </w:r>
          </w:p>
          <w:p w:rsidR="00000000" w:rsidRPr="00D96AEB" w:rsidP="00D96AEB">
            <w:pPr>
              <w:pStyle w:val="ListBullet"/>
            </w:pPr>
            <w:r w:rsidRPr="00D96AEB">
              <w:t xml:space="preserve">direct questioning combined with third-party workplace reports of on-the-job performance </w:t>
            </w:r>
          </w:p>
          <w:p w:rsidR="00000000" w:rsidRPr="00D96AEB" w:rsidP="00D96AEB">
            <w:pPr>
              <w:pStyle w:val="ListBullet"/>
            </w:pPr>
            <w:r w:rsidRPr="00D96AEB">
              <w:t xml:space="preserve">verbal or written questioning </w:t>
            </w:r>
          </w:p>
          <w:p w:rsidR="00000000" w:rsidRPr="00D96AEB" w:rsidP="00D96AEB">
            <w:pPr>
              <w:pStyle w:val="ListBullet"/>
            </w:pPr>
            <w:r w:rsidRPr="00D96AEB">
              <w:t>observ</w:t>
            </w:r>
            <w:r w:rsidRPr="00D96AEB">
              <w:t>ation of work conducted in Aboriginal Community and/or organisation</w:t>
            </w:r>
          </w:p>
          <w:p w:rsidR="00000000" w:rsidRPr="00D96AEB" w:rsidP="00D96AEB">
            <w:pPr>
              <w:pStyle w:val="ListBullet"/>
            </w:pPr>
            <w:r w:rsidRPr="00D96AEB">
              <w:t>evaluation of the outcomes of work conducted in Aboriginal Community and/or organisation</w:t>
            </w:r>
          </w:p>
          <w:p w:rsidR="00000000" w:rsidP="00D96AEB">
            <w:pPr>
              <w:pStyle w:val="BodyText"/>
              <w:rPr>
                <w:lang w:val="en-NZ"/>
              </w:rPr>
            </w:pPr>
            <w:r w:rsidRPr="00D96AEB">
              <w:t>Assessment methods should closely reflect workplace demands and the needs of particular client groups (consider the requirements of different age groups, clients with English as a second language, clients with disabilities, remote library users, etc.).</w:t>
            </w:r>
          </w:p>
        </w:tc>
      </w:tr>
      <w:tr w:rsidTr="00D96AEB">
        <w:tblPrEx>
          <w:tblW w:w="0" w:type="auto"/>
          <w:tblLayout w:type="fixed"/>
          <w:tblCellMar>
            <w:left w:w="62" w:type="dxa"/>
            <w:right w:w="62" w:type="dxa"/>
          </w:tblCellMar>
          <w:tblLook w:val="0000"/>
        </w:tblPrEx>
        <w:tc>
          <w:tcPr>
            <w:tcW w:w="3674"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P="00D96AEB">
            <w:pPr>
              <w:pStyle w:val="BodyText"/>
              <w:rPr>
                <w:lang w:val="en-NZ"/>
              </w:rPr>
            </w:pPr>
            <w:r w:rsidRPr="00D96AEB">
              <w:rPr>
                <w:rStyle w:val="SpecialBold"/>
              </w:rPr>
              <w:t>Gu</w:t>
            </w:r>
            <w:r w:rsidRPr="00D96AEB">
              <w:rPr>
                <w:rStyle w:val="SpecialBold"/>
              </w:rPr>
              <w:t>idance information for assessment</w:t>
            </w:r>
          </w:p>
        </w:tc>
        <w:tc>
          <w:tcPr>
            <w:tcW w:w="5398"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RPr="00D96AEB" w:rsidP="00D96AEB">
            <w:pPr>
              <w:pStyle w:val="BodyText"/>
            </w:pPr>
            <w:r w:rsidRPr="00D96AEB">
              <w:t>Holistic assessment with other units relevant to the industry sector, workplace and job role is recommended, for example:</w:t>
            </w:r>
          </w:p>
          <w:p w:rsidR="00000000" w:rsidRPr="00D96AEB" w:rsidP="00D96AEB">
            <w:pPr>
              <w:pStyle w:val="BodyText"/>
            </w:pPr>
            <w:r w:rsidRPr="00D96AEB">
              <w:t>AHCILM306A Follow Aboriginal cultural protocols</w:t>
            </w:r>
          </w:p>
          <w:p w:rsidR="00000000" w:rsidRPr="00D96AEB" w:rsidP="00D96AEB">
            <w:pPr>
              <w:pStyle w:val="BodyText"/>
            </w:pPr>
            <w:r w:rsidRPr="00D96AEB">
              <w:t>AHCILM404A Record and document Community history</w:t>
            </w:r>
          </w:p>
          <w:p w:rsidR="00000000" w:rsidRPr="00D96AEB" w:rsidP="00D96AEB">
            <w:pPr>
              <w:pStyle w:val="BodyText"/>
            </w:pPr>
            <w:r w:rsidRPr="00D96AEB">
              <w:t>Ass</w:t>
            </w:r>
            <w:r w:rsidRPr="00D96AEB">
              <w:t>essment for this unit should comprise a combination of theory and practical application. Both aspects of assessment are best conducted on Country for this unit.</w:t>
            </w:r>
          </w:p>
        </w:tc>
      </w:tr>
    </w:tbl>
    <w:p w:rsidR="00000000" w:rsidRPr="00D96AEB" w:rsidP="00D96AEB">
      <w:pPr>
        <w:pStyle w:val="BodyText"/>
      </w:pPr>
    </w:p>
    <w:p w:rsidR="00000000" w:rsidRPr="00D96AEB" w:rsidP="00D96AEB">
      <w:pPr>
        <w:pStyle w:val="AllowPageBreak"/>
      </w:pPr>
    </w:p>
    <w:p w:rsidR="00000000" w:rsidRPr="00D96AEB" w:rsidP="00D96AEB">
      <w:pPr>
        <w:pStyle w:val="Heading1"/>
      </w:pPr>
      <w:bookmarkStart w:id="11" w:name="O_521290"/>
      <w:bookmarkEnd w:id="11"/>
      <w:r w:rsidRPr="00D96AEB">
        <w:t>Range Statement</w:t>
      </w:r>
    </w:p>
    <w:tbl>
      <w:tblPr>
        <w:tblW w:w="0" w:type="auto"/>
        <w:tblLayout w:type="fixed"/>
        <w:tblCellMar>
          <w:left w:w="62" w:type="dxa"/>
          <w:right w:w="62" w:type="dxa"/>
        </w:tblCellMar>
        <w:tblLook w:val="0000"/>
      </w:tblPr>
      <w:tblGrid>
        <w:gridCol w:w="3011"/>
        <w:gridCol w:w="6061"/>
      </w:tblGrid>
      <w:tr w:rsidTr="00DD6846">
        <w:tblPrEx>
          <w:tblW w:w="0" w:type="auto"/>
          <w:tblLayout w:type="fixed"/>
          <w:tblCellMar>
            <w:left w:w="62" w:type="dxa"/>
            <w:right w:w="62" w:type="dxa"/>
          </w:tblCellMar>
          <w:tblLook w:val="0000"/>
        </w:tblPrEx>
        <w:tc>
          <w:tcPr>
            <w:tcW w:w="9072" w:type="dxa"/>
            <w:gridSpan w:val="2"/>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P="00D96AEB">
            <w:pPr>
              <w:pStyle w:val="BodyText"/>
              <w:rPr>
                <w:lang w:val="en-NZ"/>
              </w:rPr>
            </w:pPr>
            <w:r w:rsidRPr="00D96AEB">
              <w:t>The range statement relates to the unit of competency as a w</w:t>
            </w:r>
            <w:r w:rsidRPr="00D96AEB">
              <w:t>hole. It allows for different work environments and situations that may affect performance. Bold italicised wording, if used in the performance criteria, is detailed below. Essential operating conditions that may be present with training and assessment (de</w:t>
            </w:r>
            <w:r w:rsidRPr="00D96AEB">
              <w:t>pending on the work situation, needs of the candidate, accessibility of the item, and local industry and regional contexts) may also be included.</w:t>
            </w:r>
          </w:p>
        </w:tc>
      </w:tr>
      <w:tr w:rsidTr="00DD6846">
        <w:tblPrEx>
          <w:tblW w:w="0" w:type="auto"/>
          <w:tblLayout w:type="fixed"/>
          <w:tblCellMar>
            <w:left w:w="62" w:type="dxa"/>
            <w:right w:w="62" w:type="dxa"/>
          </w:tblCellMar>
          <w:tblLook w:val="0000"/>
        </w:tblPrEx>
        <w:tc>
          <w:tcPr>
            <w:tcW w:w="3011"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P="00D96AEB">
            <w:pPr>
              <w:pStyle w:val="BodyText"/>
              <w:rPr>
                <w:lang w:val="en-NZ"/>
              </w:rPr>
            </w:pPr>
            <w:r w:rsidRPr="00D96AEB">
              <w:rPr>
                <w:rStyle w:val="BoldandItalics"/>
              </w:rPr>
              <w:t>Strategies</w:t>
            </w:r>
            <w:r w:rsidRPr="00D96AEB">
              <w:t xml:space="preserve"> may include:</w:t>
            </w:r>
          </w:p>
        </w:tc>
        <w:tc>
          <w:tcPr>
            <w:tcW w:w="6061"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RPr="00D96AEB" w:rsidP="00D96AEB">
            <w:pPr>
              <w:pStyle w:val="ListBullet"/>
            </w:pPr>
            <w:r w:rsidRPr="00D96AEB">
              <w:t>ideas for ‘breaking the ice’ at first meetings</w:t>
            </w:r>
          </w:p>
          <w:p w:rsidR="00000000" w:rsidRPr="00D96AEB" w:rsidP="00D96AEB">
            <w:pPr>
              <w:pStyle w:val="ListBullet"/>
            </w:pPr>
            <w:r w:rsidRPr="00D96AEB">
              <w:t>ways to demonstrat</w:t>
            </w:r>
            <w:r w:rsidRPr="00D96AEB">
              <w:t>e respect for cultural authority</w:t>
            </w:r>
          </w:p>
          <w:p w:rsidR="00000000" w:rsidRPr="00D96AEB" w:rsidP="00D96AEB">
            <w:pPr>
              <w:pStyle w:val="ListBullet"/>
            </w:pPr>
            <w:r w:rsidRPr="00D96AEB">
              <w:t>ways of educating oneself about Aboriginal cultural protocols</w:t>
            </w:r>
          </w:p>
          <w:p w:rsidR="00000000" w:rsidRPr="00D96AEB" w:rsidP="00D96AEB">
            <w:pPr>
              <w:pStyle w:val="ListBullet"/>
            </w:pPr>
            <w:r w:rsidRPr="00D96AEB">
              <w:t>discussing ideas with bi-culturally competent others</w:t>
            </w:r>
          </w:p>
          <w:p w:rsidR="00000000" w:rsidRPr="00D96AEB" w:rsidP="00D96AEB">
            <w:pPr>
              <w:pStyle w:val="ListBullet"/>
            </w:pPr>
            <w:r w:rsidRPr="00D96AEB">
              <w:t>undertaking Aboriginal language courses</w:t>
            </w:r>
          </w:p>
          <w:p w:rsidR="00000000" w:rsidP="00D96AEB">
            <w:pPr>
              <w:pStyle w:val="ListBullet"/>
              <w:rPr>
                <w:lang w:val="en-NZ"/>
              </w:rPr>
            </w:pPr>
            <w:r w:rsidRPr="00D96AEB">
              <w:t>spending time in an Aboriginal Community</w:t>
            </w:r>
          </w:p>
        </w:tc>
      </w:tr>
      <w:tr w:rsidTr="00DD6846">
        <w:tblPrEx>
          <w:tblW w:w="0" w:type="auto"/>
          <w:tblLayout w:type="fixed"/>
          <w:tblCellMar>
            <w:left w:w="62" w:type="dxa"/>
            <w:right w:w="62" w:type="dxa"/>
          </w:tblCellMar>
          <w:tblLook w:val="0000"/>
        </w:tblPrEx>
        <w:tc>
          <w:tcPr>
            <w:tcW w:w="3011"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P="00D96AEB">
            <w:pPr>
              <w:pStyle w:val="BodyText"/>
              <w:rPr>
                <w:lang w:val="en-NZ"/>
              </w:rPr>
            </w:pPr>
            <w:r w:rsidRPr="00D96AEB">
              <w:rPr>
                <w:rStyle w:val="BoldandItalics"/>
              </w:rPr>
              <w:t>Aboriginal</w:t>
            </w:r>
            <w:r w:rsidRPr="00D96AEB">
              <w:t xml:space="preserve"> </w:t>
            </w:r>
            <w:r w:rsidRPr="00D96AEB">
              <w:rPr>
                <w:rStyle w:val="BoldandItalics"/>
              </w:rPr>
              <w:t>cultural protoc</w:t>
            </w:r>
            <w:r w:rsidRPr="00D96AEB">
              <w:rPr>
                <w:rStyle w:val="BoldandItalics"/>
              </w:rPr>
              <w:t xml:space="preserve">ols </w:t>
            </w:r>
            <w:r w:rsidRPr="00D96AEB">
              <w:t>may include:</w:t>
            </w:r>
          </w:p>
        </w:tc>
        <w:tc>
          <w:tcPr>
            <w:tcW w:w="6061"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RPr="00D96AEB" w:rsidP="00D96AEB">
            <w:pPr>
              <w:pStyle w:val="ListBullet"/>
            </w:pPr>
            <w:r w:rsidRPr="00D96AEB">
              <w:t xml:space="preserve">gender roles in relation to knowledge and cultural practices </w:t>
            </w:r>
          </w:p>
          <w:p w:rsidR="00000000" w:rsidRPr="00D96AEB" w:rsidP="00D96AEB">
            <w:pPr>
              <w:pStyle w:val="ListBullet"/>
            </w:pPr>
            <w:r w:rsidRPr="00D96AEB">
              <w:t>information sensitivity and access</w:t>
            </w:r>
          </w:p>
          <w:p w:rsidR="00000000" w:rsidRPr="00D96AEB" w:rsidP="00D96AEB">
            <w:pPr>
              <w:pStyle w:val="ListBullet"/>
            </w:pPr>
            <w:r w:rsidRPr="00D96AEB">
              <w:t>appropriate information transfer</w:t>
            </w:r>
          </w:p>
          <w:p w:rsidR="00000000" w:rsidRPr="00D96AEB" w:rsidP="00D96AEB">
            <w:pPr>
              <w:pStyle w:val="ListBullet"/>
            </w:pPr>
            <w:r w:rsidRPr="00D96AEB">
              <w:t>negotiations with local Aboriginal Community about information transfer</w:t>
            </w:r>
          </w:p>
          <w:p w:rsidR="00000000" w:rsidRPr="00D96AEB" w:rsidP="00D96AEB">
            <w:pPr>
              <w:pStyle w:val="ListBullet"/>
            </w:pPr>
            <w:r w:rsidRPr="00D96AEB">
              <w:t>cultural diversity</w:t>
            </w:r>
          </w:p>
          <w:p w:rsidR="00000000" w:rsidRPr="00D96AEB" w:rsidP="00D96AEB">
            <w:pPr>
              <w:pStyle w:val="ListBullet"/>
            </w:pPr>
            <w:r w:rsidRPr="00D96AEB">
              <w:t>natural resources and their importance for economy, religion, spirituality, art, environment, values, beliefs and lore/law.</w:t>
            </w:r>
          </w:p>
          <w:p w:rsidR="00000000" w:rsidRPr="00D96AEB" w:rsidP="00D96AEB">
            <w:pPr>
              <w:pStyle w:val="ListBullet"/>
            </w:pPr>
            <w:r w:rsidRPr="00D96AEB">
              <w:t>rights and responsibilities associated with cultural knowledge, story, song, Site, and ceremony</w:t>
            </w:r>
          </w:p>
          <w:p w:rsidR="00000000" w:rsidRPr="00D96AEB" w:rsidP="00D96AEB">
            <w:pPr>
              <w:pStyle w:val="ListBullet"/>
            </w:pPr>
            <w:r w:rsidRPr="00D96AEB">
              <w:t>interpersonal ways of relating</w:t>
            </w:r>
          </w:p>
          <w:p w:rsidR="00000000" w:rsidRPr="00D96AEB" w:rsidP="00D96AEB">
            <w:pPr>
              <w:pStyle w:val="ListBullet"/>
            </w:pPr>
            <w:r w:rsidRPr="00D96AEB">
              <w:t>the t</w:t>
            </w:r>
            <w:r w:rsidRPr="00D96AEB">
              <w:t>alking of Community politics</w:t>
            </w:r>
          </w:p>
          <w:p w:rsidR="00000000" w:rsidRPr="00D96AEB" w:rsidP="00D96AEB">
            <w:pPr>
              <w:pStyle w:val="ListBullet"/>
            </w:pPr>
            <w:r w:rsidRPr="00D96AEB">
              <w:t>repatriation of artefacts</w:t>
            </w:r>
          </w:p>
          <w:p w:rsidR="00000000" w:rsidRPr="00D96AEB" w:rsidP="00D96AEB">
            <w:pPr>
              <w:pStyle w:val="ListBullet"/>
            </w:pPr>
            <w:r w:rsidRPr="00D96AEB">
              <w:t>issues of ownership (clans/nations)</w:t>
            </w:r>
          </w:p>
          <w:p w:rsidR="00000000" w:rsidRPr="00D96AEB" w:rsidP="00D96AEB">
            <w:pPr>
              <w:pStyle w:val="ListBullet"/>
            </w:pPr>
            <w:r w:rsidRPr="00D96AEB">
              <w:t>ownership of intellectual property</w:t>
            </w:r>
          </w:p>
          <w:p w:rsidR="00000000" w:rsidRPr="00D96AEB" w:rsidP="00D96AEB">
            <w:pPr>
              <w:pStyle w:val="ListBullet"/>
            </w:pPr>
            <w:r w:rsidRPr="00D96AEB">
              <w:t>acknowledging participation and ownership</w:t>
            </w:r>
          </w:p>
          <w:p w:rsidR="00000000" w:rsidRPr="00D96AEB" w:rsidP="00D96AEB">
            <w:pPr>
              <w:pStyle w:val="ListBullet"/>
            </w:pPr>
            <w:r w:rsidRPr="00D96AEB">
              <w:t>communicating about cultural material</w:t>
            </w:r>
          </w:p>
          <w:p w:rsidR="00000000" w:rsidRPr="00D96AEB" w:rsidP="00D96AEB">
            <w:pPr>
              <w:pStyle w:val="ListBullet"/>
            </w:pPr>
            <w:r w:rsidRPr="00D96AEB">
              <w:t>displaying cultural material</w:t>
            </w:r>
          </w:p>
          <w:p w:rsidR="00000000" w:rsidRPr="00D96AEB" w:rsidP="00D96AEB">
            <w:pPr>
              <w:pStyle w:val="ListBullet"/>
            </w:pPr>
            <w:r w:rsidRPr="00D96AEB">
              <w:t>handling cultural mat</w:t>
            </w:r>
            <w:r w:rsidRPr="00D96AEB">
              <w:t>erial</w:t>
            </w:r>
          </w:p>
          <w:p w:rsidR="00000000" w:rsidRPr="00D96AEB" w:rsidP="00D96AEB">
            <w:pPr>
              <w:pStyle w:val="ListBullet"/>
            </w:pPr>
            <w:r w:rsidRPr="00D96AEB">
              <w:t>identifying appropriate people to be consulted</w:t>
            </w:r>
          </w:p>
          <w:p w:rsidR="00000000" w:rsidRPr="00D96AEB" w:rsidP="00D96AEB">
            <w:pPr>
              <w:pStyle w:val="ListBullet"/>
            </w:pPr>
            <w:r w:rsidRPr="00D96AEB">
              <w:t>occasions when consultation is required</w:t>
            </w:r>
          </w:p>
          <w:p w:rsidR="00000000" w:rsidP="00D96AEB">
            <w:pPr>
              <w:pStyle w:val="ListBullet"/>
              <w:rPr>
                <w:lang w:val="en-NZ"/>
              </w:rPr>
            </w:pPr>
            <w:r w:rsidRPr="00D96AEB">
              <w:t>ways in which consultations should be conducted</w:t>
            </w:r>
          </w:p>
        </w:tc>
      </w:tr>
      <w:tr w:rsidTr="00DD6846">
        <w:tblPrEx>
          <w:tblW w:w="0" w:type="auto"/>
          <w:tblLayout w:type="fixed"/>
          <w:tblCellMar>
            <w:left w:w="62" w:type="dxa"/>
            <w:right w:w="62" w:type="dxa"/>
          </w:tblCellMar>
          <w:tblLook w:val="0000"/>
        </w:tblPrEx>
        <w:tc>
          <w:tcPr>
            <w:tcW w:w="3011"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P="00D96AEB">
            <w:pPr>
              <w:pStyle w:val="BodyText"/>
              <w:rPr>
                <w:lang w:val="en-NZ"/>
              </w:rPr>
            </w:pPr>
            <w:r w:rsidRPr="00D96AEB">
              <w:rPr>
                <w:rStyle w:val="BoldandItalics"/>
              </w:rPr>
              <w:t>Work</w:t>
            </w:r>
            <w:r w:rsidRPr="00D96AEB">
              <w:t xml:space="preserve"> may include:</w:t>
            </w:r>
          </w:p>
        </w:tc>
        <w:tc>
          <w:tcPr>
            <w:tcW w:w="6061"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RPr="00D96AEB" w:rsidP="00D96AEB">
            <w:pPr>
              <w:pStyle w:val="ListBullet"/>
            </w:pPr>
            <w:r w:rsidRPr="00D96AEB">
              <w:t xml:space="preserve">a variety of forms of interaction with Aboriginal people and Community </w:t>
            </w:r>
          </w:p>
          <w:p w:rsidR="00000000" w:rsidRPr="00D96AEB" w:rsidP="00D96AEB">
            <w:pPr>
              <w:pStyle w:val="ListBullet"/>
            </w:pPr>
            <w:r w:rsidRPr="00D96AEB">
              <w:t>presentations</w:t>
            </w:r>
          </w:p>
          <w:p w:rsidR="00000000" w:rsidRPr="00D96AEB" w:rsidP="00D96AEB">
            <w:pPr>
              <w:pStyle w:val="ListBullet"/>
            </w:pPr>
            <w:r w:rsidRPr="00D96AEB">
              <w:t>consultations</w:t>
            </w:r>
          </w:p>
          <w:p w:rsidR="00000000" w:rsidRPr="00D96AEB" w:rsidP="00D96AEB">
            <w:pPr>
              <w:pStyle w:val="ListBullet"/>
            </w:pPr>
            <w:r w:rsidRPr="00D96AEB">
              <w:t>research</w:t>
            </w:r>
          </w:p>
          <w:p w:rsidR="00000000" w:rsidRPr="00D96AEB" w:rsidP="00D96AEB">
            <w:pPr>
              <w:pStyle w:val="ListBullet"/>
            </w:pPr>
            <w:r w:rsidRPr="00D96AEB">
              <w:t>mentoring</w:t>
            </w:r>
          </w:p>
          <w:p w:rsidR="00000000" w:rsidRPr="00D96AEB" w:rsidP="00D96AEB">
            <w:pPr>
              <w:pStyle w:val="ListBullet"/>
            </w:pPr>
            <w:r w:rsidRPr="00D96AEB">
              <w:t>consulting</w:t>
            </w:r>
          </w:p>
          <w:p w:rsidR="00000000" w:rsidRPr="00D96AEB" w:rsidP="00D96AEB">
            <w:pPr>
              <w:pStyle w:val="ListBullet"/>
            </w:pPr>
            <w:r w:rsidRPr="00D96AEB">
              <w:t>recording</w:t>
            </w:r>
          </w:p>
          <w:p w:rsidR="00000000" w:rsidRPr="00D96AEB" w:rsidP="00D96AEB">
            <w:pPr>
              <w:pStyle w:val="ListBullet"/>
            </w:pPr>
            <w:r w:rsidRPr="00D96AEB">
              <w:t>sharing knowledge</w:t>
            </w:r>
          </w:p>
          <w:p w:rsidR="00000000" w:rsidRPr="00D96AEB" w:rsidP="00D96AEB">
            <w:pPr>
              <w:pStyle w:val="ListBullet"/>
            </w:pPr>
            <w:r w:rsidRPr="00D96AEB">
              <w:t>writing reports</w:t>
            </w:r>
          </w:p>
        </w:tc>
      </w:tr>
    </w:tbl>
    <w:p w:rsidR="00000000" w:rsidRPr="00D96AEB" w:rsidP="00D96AEB">
      <w:pPr>
        <w:pStyle w:val="BodyText"/>
      </w:pPr>
    </w:p>
    <w:p w:rsidR="00000000" w:rsidRPr="00D96AEB" w:rsidP="00D96AEB">
      <w:pPr>
        <w:pStyle w:val="AllowPageBreak"/>
      </w:pPr>
    </w:p>
    <w:p w:rsidR="00000000" w:rsidRPr="00D96AEB" w:rsidP="00D96AEB">
      <w:pPr>
        <w:pStyle w:val="Heading1"/>
      </w:pPr>
      <w:bookmarkStart w:id="12" w:name="O_521291"/>
      <w:bookmarkEnd w:id="12"/>
      <w:r w:rsidRPr="00D96AEB">
        <w:t>Unit Sector(s)</w:t>
      </w:r>
    </w:p>
    <w:p w:rsidR="00000000" w:rsidRPr="00D96AEB" w:rsidP="00D96AEB">
      <w:pPr>
        <w:pStyle w:val="BodyText"/>
      </w:pPr>
      <w:r w:rsidRPr="00D96AEB">
        <w:t>Indigenous land management</w:t>
      </w:r>
    </w:p>
    <w:p w:rsidR="00000000" w:rsidRPr="00D96AEB" w:rsidP="00D96AEB"/>
    <w:sectPr w:rsidSect="00D96AEB">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6AE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6AEB" w:rsidRPr="00DD6846" w:rsidP="00DD684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6AE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6846" w:rsidP="00D96AE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6</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DD6846" w:rsidP="00D96AEB">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AgriFood Skills Australia</w:t>
    </w:r>
    <w:r>
      <w:fldChar w:fldCharType="end"/>
    </w:r>
  </w:p>
  <w:p w:rsidR="00DD6846" w:rsidP="00D96AE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6AE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6AEB" w:rsidRPr="00DD6846" w:rsidP="00DD6846">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6AE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6846" w:rsidRPr="002D2AF8" w:rsidP="00D96AEB">
    <w:pPr>
      <w:pStyle w:val="Header"/>
      <w:framePr w:wrap="around"/>
    </w:pPr>
    <w:r>
      <w:fldChar w:fldCharType="begin"/>
    </w:r>
    <w:r>
      <w:instrText xml:space="preserve"> TITLE   \* MERGEFORMAT </w:instrText>
    </w:r>
    <w:r>
      <w:fldChar w:fldCharType="separate"/>
    </w:r>
    <w:r>
      <w:t>AHCILM305A Work with an Aboriginal Community or organisation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1/03/2013</w:t>
    </w:r>
    <w:r>
      <w:fldChar w:fldCharType="end"/>
    </w:r>
  </w:p>
  <w:p w:rsidR="00DD6846" w:rsidP="00D96AE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4FB64BB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2E722CE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96AE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96AEB"/>
    <w:pPr>
      <w:spacing w:before="360" w:after="60"/>
      <w:outlineLvl w:val="0"/>
    </w:pPr>
    <w:rPr>
      <w:sz w:val="32"/>
    </w:rPr>
  </w:style>
  <w:style w:type="paragraph" w:styleId="Heading2">
    <w:name w:val="heading 2"/>
    <w:basedOn w:val="HeadingBase"/>
    <w:next w:val="BodyText"/>
    <w:link w:val="Heading2Char"/>
    <w:qFormat/>
    <w:rsid w:val="00D96AEB"/>
    <w:pPr>
      <w:keepLines/>
      <w:spacing w:before="240" w:after="120"/>
      <w:outlineLvl w:val="1"/>
    </w:pPr>
    <w:rPr>
      <w:sz w:val="28"/>
      <w:szCs w:val="40"/>
    </w:rPr>
  </w:style>
  <w:style w:type="paragraph" w:styleId="Heading3">
    <w:name w:val="heading 3"/>
    <w:basedOn w:val="HeadingBase"/>
    <w:next w:val="BodyText"/>
    <w:link w:val="Heading3Char"/>
    <w:qFormat/>
    <w:rsid w:val="00D96AEB"/>
    <w:pPr>
      <w:spacing w:before="180" w:after="120"/>
      <w:outlineLvl w:val="2"/>
    </w:pPr>
    <w:rPr>
      <w:spacing w:val="-10"/>
      <w:kern w:val="32"/>
    </w:rPr>
  </w:style>
  <w:style w:type="paragraph" w:styleId="Heading4">
    <w:name w:val="heading 4"/>
    <w:basedOn w:val="HeadingBase"/>
    <w:next w:val="BodyText"/>
    <w:link w:val="Heading4Char"/>
    <w:qFormat/>
    <w:rsid w:val="00D96AEB"/>
    <w:pPr>
      <w:spacing w:before="160" w:after="120"/>
      <w:outlineLvl w:val="3"/>
    </w:pPr>
    <w:rPr>
      <w:sz w:val="22"/>
    </w:rPr>
  </w:style>
  <w:style w:type="paragraph" w:styleId="Heading5">
    <w:name w:val="heading 5"/>
    <w:basedOn w:val="HeadingBase"/>
    <w:next w:val="Normal"/>
    <w:link w:val="Heading5Char"/>
    <w:qFormat/>
    <w:rsid w:val="00D96AEB"/>
    <w:pPr>
      <w:spacing w:before="80"/>
      <w:outlineLvl w:val="4"/>
    </w:pPr>
    <w:rPr>
      <w:color w:val="918585"/>
      <w:sz w:val="20"/>
    </w:rPr>
  </w:style>
  <w:style w:type="paragraph" w:styleId="Heading6">
    <w:name w:val="heading 6"/>
    <w:basedOn w:val="HeadingBase"/>
    <w:next w:val="Normal"/>
    <w:link w:val="Heading6Char"/>
    <w:qFormat/>
    <w:rsid w:val="00D96AEB"/>
    <w:pPr>
      <w:spacing w:before="60"/>
      <w:outlineLvl w:val="5"/>
    </w:pPr>
    <w:rPr>
      <w:color w:val="918585"/>
      <w:sz w:val="20"/>
    </w:rPr>
  </w:style>
  <w:style w:type="paragraph" w:styleId="Heading7">
    <w:name w:val="heading 7"/>
    <w:basedOn w:val="Normal"/>
    <w:next w:val="Normal"/>
    <w:link w:val="Heading7Char"/>
    <w:qFormat/>
    <w:rsid w:val="00D96AEB"/>
    <w:pPr>
      <w:ind w:left="720"/>
      <w:outlineLvl w:val="6"/>
    </w:pPr>
    <w:rPr>
      <w:i/>
    </w:rPr>
  </w:style>
  <w:style w:type="paragraph" w:styleId="Heading8">
    <w:name w:val="heading 8"/>
    <w:basedOn w:val="Normal"/>
    <w:next w:val="Normal"/>
    <w:link w:val="Heading8Char"/>
    <w:qFormat/>
    <w:rsid w:val="00D96AEB"/>
    <w:pPr>
      <w:ind w:left="720"/>
      <w:outlineLvl w:val="7"/>
    </w:pPr>
    <w:rPr>
      <w:i/>
    </w:rPr>
  </w:style>
  <w:style w:type="paragraph" w:styleId="Heading9">
    <w:name w:val="heading 9"/>
    <w:basedOn w:val="Normal"/>
    <w:next w:val="Normal"/>
    <w:link w:val="Heading9Char"/>
    <w:qFormat/>
    <w:rsid w:val="00D96AEB"/>
    <w:pPr>
      <w:ind w:left="720"/>
      <w:outlineLvl w:val="8"/>
    </w:pPr>
    <w:rPr>
      <w:i/>
    </w:rPr>
  </w:style>
  <w:style w:type="character" w:default="1" w:styleId="DefaultParagraphFont">
    <w:name w:val="Default Paragraph Font"/>
    <w:uiPriority w:val="1"/>
    <w:unhideWhenUsed/>
    <w:rsid w:val="00D96AE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96AEB"/>
  </w:style>
  <w:style w:type="character" w:customStyle="1" w:styleId="Heading1Char">
    <w:name w:val="Heading 1 Char"/>
    <w:basedOn w:val="DefaultParagraphFont"/>
    <w:link w:val="Heading1"/>
    <w:rsid w:val="00D96AEB"/>
    <w:rPr>
      <w:rFonts w:ascii="Times New Roman" w:eastAsia="Times New Roman" w:hAnsi="Times New Roman" w:cs="Times New Roman"/>
      <w:b/>
      <w:sz w:val="32"/>
      <w:szCs w:val="20"/>
      <w:lang w:eastAsia="en-US"/>
    </w:rPr>
  </w:style>
  <w:style w:type="paragraph" w:styleId="BodyText">
    <w:name w:val="Body Text"/>
    <w:basedOn w:val="Normal"/>
    <w:link w:val="BodyTextChar"/>
    <w:rsid w:val="00D96AEB"/>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D96AEB"/>
    <w:rPr>
      <w:rFonts w:ascii="Times New Roman" w:eastAsia="Times New Roman" w:hAnsi="Times New Roman" w:cs="Times New Roman"/>
      <w:sz w:val="24"/>
      <w:lang w:eastAsia="en-US"/>
    </w:rPr>
  </w:style>
  <w:style w:type="paragraph" w:styleId="List">
    <w:name w:val="List"/>
    <w:basedOn w:val="BodyText"/>
    <w:next w:val="BodyText"/>
    <w:rsid w:val="00D96AEB"/>
    <w:pPr>
      <w:tabs>
        <w:tab w:val="left" w:pos="340"/>
      </w:tabs>
      <w:spacing w:before="60" w:after="60"/>
      <w:ind w:left="340" w:hanging="340"/>
    </w:pPr>
  </w:style>
  <w:style w:type="paragraph" w:styleId="ListBullet">
    <w:name w:val="List Bullet"/>
    <w:basedOn w:val="List"/>
    <w:rsid w:val="00D96AEB"/>
    <w:pPr>
      <w:numPr>
        <w:numId w:val="12"/>
      </w:numPr>
      <w:tabs>
        <w:tab w:val="clear" w:pos="340"/>
      </w:tabs>
      <w:spacing w:before="40" w:after="40"/>
    </w:pPr>
  </w:style>
  <w:style w:type="character" w:customStyle="1" w:styleId="SpecialBold">
    <w:name w:val="Special Bold"/>
    <w:basedOn w:val="DefaultParagraphFont"/>
    <w:rsid w:val="00D96AEB"/>
    <w:rPr>
      <w:b/>
      <w:spacing w:val="0"/>
    </w:rPr>
  </w:style>
  <w:style w:type="paragraph" w:customStyle="1" w:styleId="SuperHeading">
    <w:name w:val="SuperHeading"/>
    <w:basedOn w:val="Normal"/>
    <w:rsid w:val="00D96AEB"/>
    <w:pPr>
      <w:spacing w:before="240" w:after="120"/>
      <w:outlineLvl w:val="0"/>
    </w:pPr>
    <w:rPr>
      <w:rFonts w:ascii="Times New Roman" w:hAnsi="Times New Roman"/>
      <w:b/>
      <w:sz w:val="32"/>
    </w:rPr>
  </w:style>
  <w:style w:type="paragraph" w:customStyle="1" w:styleId="TableHeading">
    <w:name w:val="Table Heading"/>
    <w:basedOn w:val="HeadingBase"/>
    <w:rsid w:val="00D96AEB"/>
    <w:pPr>
      <w:keepLines/>
      <w:pBdr>
        <w:bottom w:val="single" w:sz="6" w:space="1" w:color="918585"/>
      </w:pBdr>
      <w:spacing w:before="240"/>
    </w:pPr>
  </w:style>
  <w:style w:type="paragraph" w:customStyle="1" w:styleId="AllowPageBreak">
    <w:name w:val="AllowPageBreak"/>
    <w:rsid w:val="00D96AE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D96AEB"/>
    <w:rPr>
      <w:b/>
      <w:i/>
      <w:u w:val="none"/>
    </w:rPr>
  </w:style>
  <w:style w:type="character" w:customStyle="1" w:styleId="Heading2Char">
    <w:name w:val="Heading 2 Char"/>
    <w:basedOn w:val="DefaultParagraphFont"/>
    <w:link w:val="Heading2"/>
    <w:rsid w:val="00D96AE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96AE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96AE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96AE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96AE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96AE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96AE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96AEB"/>
    <w:rPr>
      <w:rFonts w:ascii="Courier New" w:eastAsia="Times New Roman" w:hAnsi="Courier New" w:cs="Times New Roman"/>
      <w:i/>
      <w:szCs w:val="20"/>
      <w:lang w:eastAsia="en-US"/>
    </w:rPr>
  </w:style>
  <w:style w:type="paragraph" w:customStyle="1" w:styleId="HeadingBase">
    <w:name w:val="Heading Base"/>
    <w:rsid w:val="00D96AE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96AEB"/>
    <w:pPr>
      <w:tabs>
        <w:tab w:val="right" w:leader="dot" w:pos="9072"/>
      </w:tabs>
      <w:ind w:left="567"/>
    </w:pPr>
    <w:rPr>
      <w:szCs w:val="22"/>
    </w:rPr>
  </w:style>
  <w:style w:type="paragraph" w:customStyle="1" w:styleId="TOCBase">
    <w:name w:val="TOC Base"/>
    <w:rsid w:val="00D96AE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96AEB"/>
    <w:pPr>
      <w:tabs>
        <w:tab w:val="right" w:leader="dot" w:pos="9072"/>
      </w:tabs>
      <w:spacing w:before="40" w:after="40"/>
      <w:ind w:left="284"/>
    </w:pPr>
    <w:rPr>
      <w:rFonts w:ascii="Times New Roman" w:hAnsi="Times New Roman"/>
    </w:rPr>
  </w:style>
  <w:style w:type="paragraph" w:styleId="TOC1">
    <w:name w:val="toc 1"/>
    <w:basedOn w:val="TOCBase"/>
    <w:next w:val="Normal"/>
    <w:rsid w:val="00D96AE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96AE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96AEB"/>
    <w:rPr>
      <w:rFonts w:ascii="Times New Roman" w:eastAsia="Times New Roman" w:hAnsi="Times New Roman" w:cs="Times New Roman"/>
      <w:sz w:val="16"/>
      <w:lang w:eastAsia="en-US"/>
    </w:rPr>
  </w:style>
  <w:style w:type="paragraph" w:styleId="Title">
    <w:name w:val="Title"/>
    <w:basedOn w:val="HeadingBase"/>
    <w:link w:val="TitleChar"/>
    <w:qFormat/>
    <w:rsid w:val="00D96AEB"/>
    <w:pPr>
      <w:spacing w:before="5040"/>
      <w:jc w:val="center"/>
    </w:pPr>
    <w:rPr>
      <w:sz w:val="48"/>
      <w:szCs w:val="72"/>
      <w:lang w:val="en-US"/>
    </w:rPr>
  </w:style>
  <w:style w:type="character" w:customStyle="1" w:styleId="TitleChar">
    <w:name w:val="Title Char"/>
    <w:basedOn w:val="DefaultParagraphFont"/>
    <w:link w:val="Title"/>
    <w:rsid w:val="00D96AE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96AEB"/>
    <w:pPr>
      <w:tabs>
        <w:tab w:val="left" w:pos="3600"/>
        <w:tab w:val="left" w:pos="3958"/>
      </w:tabs>
    </w:pPr>
  </w:style>
  <w:style w:type="paragraph" w:customStyle="1" w:styleId="Note">
    <w:name w:val="Note"/>
    <w:basedOn w:val="BodyText"/>
    <w:rsid w:val="00D96AE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96AEB"/>
    <w:pPr>
      <w:framePr w:wrap="auto" w:hAnchor="text" w:y="6049"/>
    </w:pPr>
    <w:rPr>
      <w:color w:val="000000"/>
      <w:sz w:val="40"/>
    </w:rPr>
  </w:style>
  <w:style w:type="paragraph" w:customStyle="1" w:styleId="TOCTitle">
    <w:name w:val="TOCTitle"/>
    <w:basedOn w:val="Heading1"/>
    <w:rsid w:val="00D96AEB"/>
    <w:pPr>
      <w:spacing w:after="240"/>
      <w:jc w:val="center"/>
      <w:outlineLvl w:val="9"/>
    </w:pPr>
    <w:rPr>
      <w:caps/>
    </w:rPr>
  </w:style>
  <w:style w:type="paragraph" w:customStyle="1" w:styleId="Version">
    <w:name w:val="Version"/>
    <w:rsid w:val="00D96AEB"/>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D96AEB"/>
    <w:pPr>
      <w:numPr>
        <w:numId w:val="13"/>
      </w:numPr>
      <w:tabs>
        <w:tab w:val="clear" w:pos="680"/>
      </w:tabs>
    </w:pPr>
  </w:style>
  <w:style w:type="paragraph" w:styleId="Index1">
    <w:name w:val="index 1"/>
    <w:basedOn w:val="Normal"/>
    <w:next w:val="Normal"/>
    <w:semiHidden/>
    <w:rsid w:val="00D96AEB"/>
    <w:pPr>
      <w:keepNext w:val="0"/>
      <w:tabs>
        <w:tab w:val="right" w:pos="4176"/>
      </w:tabs>
      <w:ind w:left="198" w:hanging="198"/>
    </w:pPr>
    <w:rPr>
      <w:rFonts w:ascii="Garamond" w:hAnsi="Garamond"/>
    </w:rPr>
  </w:style>
  <w:style w:type="paragraph" w:styleId="IndexHeading">
    <w:name w:val="index heading"/>
    <w:basedOn w:val="Normal"/>
    <w:next w:val="Index1"/>
    <w:semiHidden/>
    <w:rsid w:val="00D96AEB"/>
    <w:pPr>
      <w:spacing w:before="120" w:after="120"/>
    </w:pPr>
    <w:rPr>
      <w:rFonts w:ascii="Arial" w:hAnsi="Arial"/>
      <w:b/>
      <w:color w:val="918585"/>
      <w:sz w:val="24"/>
    </w:rPr>
  </w:style>
  <w:style w:type="paragraph" w:styleId="Header">
    <w:name w:val="header"/>
    <w:basedOn w:val="Normal"/>
    <w:link w:val="HeaderChar"/>
    <w:rsid w:val="00D96AE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96AEB"/>
    <w:rPr>
      <w:rFonts w:ascii="Times New Roman" w:eastAsia="Times New Roman" w:hAnsi="Times New Roman" w:cs="Times New Roman"/>
      <w:sz w:val="16"/>
      <w:szCs w:val="20"/>
      <w:lang w:val="en-GB" w:eastAsia="en-US"/>
    </w:rPr>
  </w:style>
  <w:style w:type="paragraph" w:customStyle="1" w:styleId="Chapter">
    <w:name w:val="Chapter"/>
    <w:basedOn w:val="Normal"/>
    <w:rsid w:val="00D96AEB"/>
    <w:pPr>
      <w:spacing w:before="240"/>
    </w:pPr>
    <w:rPr>
      <w:rFonts w:ascii="Times New Roman" w:hAnsi="Times New Roman"/>
      <w:smallCaps/>
      <w:spacing w:val="80"/>
      <w:sz w:val="28"/>
    </w:rPr>
  </w:style>
  <w:style w:type="paragraph" w:customStyle="1" w:styleId="InChapter">
    <w:name w:val="InChapter"/>
    <w:basedOn w:val="Heading3"/>
    <w:rsid w:val="00D96AEB"/>
    <w:pPr>
      <w:spacing w:after="240"/>
      <w:outlineLvl w:val="9"/>
    </w:pPr>
    <w:rPr>
      <w:noProof/>
    </w:rPr>
  </w:style>
  <w:style w:type="paragraph" w:styleId="Index2">
    <w:name w:val="index 2"/>
    <w:basedOn w:val="Normal"/>
    <w:next w:val="Normal"/>
    <w:semiHidden/>
    <w:rsid w:val="00D96AEB"/>
    <w:pPr>
      <w:tabs>
        <w:tab w:val="right" w:pos="4176"/>
      </w:tabs>
      <w:ind w:left="568" w:hanging="284"/>
    </w:pPr>
    <w:rPr>
      <w:rFonts w:ascii="Garamond" w:hAnsi="Garamond"/>
    </w:rPr>
  </w:style>
  <w:style w:type="paragraph" w:customStyle="1" w:styleId="Byline">
    <w:name w:val="Byline"/>
    <w:rsid w:val="00D96AE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96AEB"/>
    <w:pPr>
      <w:tabs>
        <w:tab w:val="clear" w:pos="3600"/>
        <w:tab w:val="clear" w:pos="3958"/>
      </w:tabs>
      <w:jc w:val="right"/>
    </w:pPr>
  </w:style>
  <w:style w:type="character" w:styleId="Emphasis">
    <w:name w:val="Emphasis"/>
    <w:basedOn w:val="DefaultParagraphFont"/>
    <w:qFormat/>
    <w:rsid w:val="00D96AEB"/>
    <w:rPr>
      <w:i/>
    </w:rPr>
  </w:style>
  <w:style w:type="paragraph" w:styleId="Caption">
    <w:name w:val="caption"/>
    <w:basedOn w:val="BodyText"/>
    <w:next w:val="Normal"/>
    <w:qFormat/>
    <w:rsid w:val="00D96AEB"/>
    <w:pPr>
      <w:framePr w:w="2268" w:hSpace="181" w:vSpace="181" w:wrap="around" w:vAnchor="text" w:hAnchor="page" w:x="1135" w:y="285" w:anchorLock="1"/>
    </w:pPr>
    <w:rPr>
      <w:i/>
    </w:rPr>
  </w:style>
  <w:style w:type="paragraph" w:customStyle="1" w:styleId="MiniTOCTitle">
    <w:name w:val="MiniTOCTitle"/>
    <w:basedOn w:val="Heading4"/>
    <w:rsid w:val="00D96AEB"/>
    <w:pPr>
      <w:spacing w:before="240"/>
      <w:outlineLvl w:val="9"/>
    </w:pPr>
    <w:rPr>
      <w:noProof/>
      <w:sz w:val="24"/>
    </w:rPr>
  </w:style>
  <w:style w:type="paragraph" w:customStyle="1" w:styleId="MiniTOCItem">
    <w:name w:val="MiniTOCItem"/>
    <w:basedOn w:val="ListBullet"/>
    <w:rsid w:val="00D96AEB"/>
    <w:pPr>
      <w:numPr>
        <w:numId w:val="0"/>
      </w:numPr>
      <w:tabs>
        <w:tab w:val="right" w:leader="dot" w:pos="6521"/>
      </w:tabs>
      <w:spacing w:before="0" w:after="0"/>
    </w:pPr>
  </w:style>
  <w:style w:type="paragraph" w:customStyle="1" w:styleId="TOFTitle">
    <w:name w:val="TOFTitle"/>
    <w:basedOn w:val="TOCTitle"/>
    <w:rsid w:val="00D96AEB"/>
  </w:style>
  <w:style w:type="paragraph" w:styleId="TableofFigures">
    <w:name w:val="table of figures"/>
    <w:basedOn w:val="Normal"/>
    <w:next w:val="Normal"/>
    <w:semiHidden/>
    <w:rsid w:val="00D96AEB"/>
    <w:pPr>
      <w:tabs>
        <w:tab w:val="right" w:leader="dot" w:pos="9072"/>
      </w:tabs>
      <w:ind w:left="970" w:hanging="403"/>
    </w:pPr>
    <w:rPr>
      <w:rFonts w:ascii="Times New Roman" w:hAnsi="Times New Roman"/>
      <w:b/>
    </w:rPr>
  </w:style>
  <w:style w:type="paragraph" w:styleId="ListNumber">
    <w:name w:val="List Number"/>
    <w:basedOn w:val="List"/>
    <w:rsid w:val="00D96AEB"/>
    <w:pPr>
      <w:numPr>
        <w:numId w:val="10"/>
      </w:numPr>
    </w:pPr>
  </w:style>
  <w:style w:type="character" w:customStyle="1" w:styleId="WingdingSymbols">
    <w:name w:val="Wingding Symbols"/>
    <w:rsid w:val="00D96AEB"/>
    <w:rPr>
      <w:rFonts w:ascii="Wingdings" w:hAnsi="Wingdings"/>
    </w:rPr>
  </w:style>
  <w:style w:type="character" w:customStyle="1" w:styleId="HotSpot">
    <w:name w:val="HotSpot"/>
    <w:rsid w:val="00D96AEB"/>
    <w:rPr>
      <w:color w:val="0033CC"/>
      <w:u w:val="none"/>
    </w:rPr>
  </w:style>
  <w:style w:type="paragraph" w:customStyle="1" w:styleId="BodyTextRight">
    <w:name w:val="Body Text Right"/>
    <w:basedOn w:val="BodyText"/>
    <w:rsid w:val="00D96AEB"/>
    <w:pPr>
      <w:spacing w:before="0" w:after="0"/>
      <w:jc w:val="right"/>
    </w:pPr>
  </w:style>
  <w:style w:type="paragraph" w:styleId="Index3">
    <w:name w:val="index 3"/>
    <w:basedOn w:val="ListNumber2"/>
    <w:next w:val="Normal"/>
    <w:semiHidden/>
    <w:rsid w:val="00D96AEB"/>
    <w:pPr>
      <w:numPr>
        <w:numId w:val="0"/>
      </w:numPr>
      <w:tabs>
        <w:tab w:val="right" w:leader="dot" w:pos="4176"/>
      </w:tabs>
    </w:pPr>
  </w:style>
  <w:style w:type="paragraph" w:styleId="ListNumber2">
    <w:name w:val="List Number 2"/>
    <w:basedOn w:val="List2"/>
    <w:rsid w:val="00D96AEB"/>
    <w:pPr>
      <w:numPr>
        <w:numId w:val="9"/>
      </w:numPr>
      <w:tabs>
        <w:tab w:val="clear" w:pos="1060"/>
      </w:tabs>
    </w:pPr>
  </w:style>
  <w:style w:type="paragraph" w:customStyle="1" w:styleId="MarginNote">
    <w:name w:val="Margin Note"/>
    <w:basedOn w:val="BodyText"/>
    <w:rsid w:val="00D96AE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96AE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96AE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96AEB"/>
    <w:rPr>
      <w:sz w:val="32"/>
    </w:rPr>
  </w:style>
  <w:style w:type="paragraph" w:customStyle="1" w:styleId="HeadingProcedure">
    <w:name w:val="Heading Procedure"/>
    <w:basedOn w:val="HeadingBase"/>
    <w:next w:val="Normal"/>
    <w:rsid w:val="00D96AEB"/>
    <w:pPr>
      <w:tabs>
        <w:tab w:val="left" w:pos="0"/>
      </w:tabs>
      <w:spacing w:before="120" w:after="60"/>
    </w:pPr>
    <w:rPr>
      <w:i/>
      <w:color w:val="918585"/>
      <w:sz w:val="22"/>
    </w:rPr>
  </w:style>
  <w:style w:type="paragraph" w:customStyle="1" w:styleId="TableBodyText">
    <w:name w:val="Table Body Text"/>
    <w:basedOn w:val="BodyText"/>
    <w:rsid w:val="00D96AEB"/>
    <w:pPr>
      <w:spacing w:before="60" w:after="60"/>
    </w:pPr>
  </w:style>
  <w:style w:type="paragraph" w:styleId="ListContinue">
    <w:name w:val="List Continue"/>
    <w:basedOn w:val="List"/>
    <w:rsid w:val="00D96AEB"/>
    <w:pPr>
      <w:ind w:firstLine="0"/>
    </w:pPr>
  </w:style>
  <w:style w:type="paragraph" w:customStyle="1" w:styleId="ListNote">
    <w:name w:val="List Note"/>
    <w:basedOn w:val="List"/>
    <w:rsid w:val="00D96AEB"/>
    <w:pPr>
      <w:pBdr>
        <w:top w:val="single" w:sz="6" w:space="2" w:color="918585"/>
        <w:bottom w:val="single" w:sz="6" w:space="2" w:color="918585"/>
      </w:pBdr>
      <w:tabs>
        <w:tab w:val="left" w:pos="1021"/>
      </w:tabs>
      <w:ind w:firstLine="0"/>
    </w:pPr>
  </w:style>
  <w:style w:type="paragraph" w:customStyle="1" w:styleId="Warning">
    <w:name w:val="Warning"/>
    <w:basedOn w:val="BodyText"/>
    <w:rsid w:val="00D96AEB"/>
    <w:pPr>
      <w:shd w:val="clear" w:color="auto" w:fill="D9D9D9"/>
      <w:tabs>
        <w:tab w:val="left" w:pos="992"/>
      </w:tabs>
      <w:ind w:left="119" w:right="119"/>
    </w:pPr>
    <w:rPr>
      <w:sz w:val="20"/>
    </w:rPr>
  </w:style>
  <w:style w:type="paragraph" w:customStyle="1" w:styleId="MarginIcons">
    <w:name w:val="Margin Icons"/>
    <w:basedOn w:val="BodyText"/>
    <w:rsid w:val="00D96AE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96AEB"/>
    <w:rPr>
      <w:rFonts w:ascii="Courier New" w:hAnsi="Courier New"/>
    </w:rPr>
  </w:style>
  <w:style w:type="paragraph" w:customStyle="1" w:styleId="NoteBullet">
    <w:name w:val="Note Bullet"/>
    <w:basedOn w:val="Note"/>
    <w:rsid w:val="00D96AEB"/>
    <w:pPr>
      <w:tabs>
        <w:tab w:val="clear" w:pos="680"/>
      </w:tabs>
      <w:spacing w:before="60" w:after="60"/>
    </w:pPr>
  </w:style>
  <w:style w:type="paragraph" w:customStyle="1" w:styleId="SubHeading2">
    <w:name w:val="SubHeading2"/>
    <w:basedOn w:val="HeadingBase"/>
    <w:rsid w:val="00D96AEB"/>
    <w:pPr>
      <w:spacing w:before="240" w:after="60"/>
    </w:pPr>
    <w:rPr>
      <w:sz w:val="20"/>
    </w:rPr>
  </w:style>
  <w:style w:type="paragraph" w:customStyle="1" w:styleId="SubHeading1">
    <w:name w:val="SubHeading1"/>
    <w:basedOn w:val="HeadingBase"/>
    <w:rsid w:val="00D96AEB"/>
    <w:pPr>
      <w:spacing w:before="240" w:after="60"/>
    </w:pPr>
    <w:rPr>
      <w:color w:val="918585"/>
      <w:sz w:val="22"/>
    </w:rPr>
  </w:style>
  <w:style w:type="paragraph" w:customStyle="1" w:styleId="SideHeading">
    <w:name w:val="Side Heading"/>
    <w:basedOn w:val="HeadingBase"/>
    <w:rsid w:val="00D96AE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96AEB"/>
    <w:pPr>
      <w:tabs>
        <w:tab w:val="num" w:pos="360"/>
      </w:tabs>
    </w:pPr>
  </w:style>
  <w:style w:type="paragraph" w:styleId="PlainText">
    <w:name w:val="Plain Text"/>
    <w:basedOn w:val="Normal"/>
    <w:link w:val="PlainTextChar"/>
    <w:rsid w:val="00D96AEB"/>
    <w:rPr>
      <w:sz w:val="20"/>
    </w:rPr>
  </w:style>
  <w:style w:type="character" w:customStyle="1" w:styleId="PlainTextChar">
    <w:name w:val="Plain Text Char"/>
    <w:basedOn w:val="DefaultParagraphFont"/>
    <w:link w:val="PlainText"/>
    <w:rsid w:val="00D96AEB"/>
    <w:rPr>
      <w:rFonts w:ascii="Courier New" w:eastAsia="Times New Roman" w:hAnsi="Courier New" w:cs="Times New Roman"/>
      <w:sz w:val="20"/>
      <w:szCs w:val="20"/>
      <w:lang w:eastAsia="en-US"/>
    </w:rPr>
  </w:style>
  <w:style w:type="character" w:customStyle="1" w:styleId="MenuOption">
    <w:name w:val="Menu Option"/>
    <w:basedOn w:val="DefaultParagraphFont"/>
    <w:rsid w:val="00D96AEB"/>
    <w:rPr>
      <w:b/>
      <w:smallCaps/>
    </w:rPr>
  </w:style>
  <w:style w:type="paragraph" w:customStyle="1" w:styleId="TableListNumber">
    <w:name w:val="Table List Number"/>
    <w:basedOn w:val="ListNumber"/>
    <w:rsid w:val="00D96AEB"/>
    <w:pPr>
      <w:numPr>
        <w:numId w:val="0"/>
      </w:numPr>
    </w:pPr>
  </w:style>
  <w:style w:type="paragraph" w:styleId="TOC4">
    <w:name w:val="toc 4"/>
    <w:basedOn w:val="TOCBase"/>
    <w:next w:val="Normal"/>
    <w:semiHidden/>
    <w:rsid w:val="00D96AEB"/>
    <w:pPr>
      <w:tabs>
        <w:tab w:val="right" w:leader="dot" w:pos="9071"/>
      </w:tabs>
      <w:ind w:left="1701"/>
    </w:pPr>
  </w:style>
  <w:style w:type="paragraph" w:customStyle="1" w:styleId="ListAlpha">
    <w:name w:val="List Alpha"/>
    <w:basedOn w:val="List"/>
    <w:rsid w:val="00D96AEB"/>
    <w:pPr>
      <w:numPr>
        <w:numId w:val="8"/>
      </w:numPr>
    </w:pPr>
  </w:style>
  <w:style w:type="paragraph" w:customStyle="1" w:styleId="ListAlpha2">
    <w:name w:val="List Alpha 2"/>
    <w:basedOn w:val="List2"/>
    <w:rsid w:val="00D96AEB"/>
    <w:pPr>
      <w:numPr>
        <w:numId w:val="7"/>
      </w:numPr>
    </w:pPr>
  </w:style>
  <w:style w:type="paragraph" w:styleId="List2">
    <w:name w:val="List 2"/>
    <w:basedOn w:val="BodyText"/>
    <w:rsid w:val="00D96AEB"/>
    <w:pPr>
      <w:tabs>
        <w:tab w:val="left" w:pos="680"/>
      </w:tabs>
      <w:spacing w:before="60" w:after="60"/>
      <w:ind w:left="680" w:hanging="340"/>
    </w:pPr>
  </w:style>
  <w:style w:type="paragraph" w:styleId="List3">
    <w:name w:val="List 3"/>
    <w:basedOn w:val="BodyText"/>
    <w:rsid w:val="00D96AEB"/>
    <w:pPr>
      <w:tabs>
        <w:tab w:val="left" w:pos="1021"/>
      </w:tabs>
      <w:spacing w:before="60" w:after="60"/>
      <w:ind w:left="1020" w:hanging="340"/>
    </w:pPr>
  </w:style>
  <w:style w:type="paragraph" w:styleId="List4">
    <w:name w:val="List 4"/>
    <w:basedOn w:val="BodyText"/>
    <w:rsid w:val="00D96AEB"/>
    <w:pPr>
      <w:tabs>
        <w:tab w:val="left" w:pos="1361"/>
      </w:tabs>
      <w:spacing w:before="60" w:after="60"/>
      <w:ind w:left="1361" w:hanging="340"/>
    </w:pPr>
  </w:style>
  <w:style w:type="paragraph" w:styleId="List5">
    <w:name w:val="List 5"/>
    <w:basedOn w:val="BodyText"/>
    <w:rsid w:val="00D96AEB"/>
    <w:pPr>
      <w:tabs>
        <w:tab w:val="left" w:pos="1701"/>
      </w:tabs>
      <w:spacing w:before="60" w:after="60"/>
      <w:ind w:left="1701" w:hanging="340"/>
    </w:pPr>
  </w:style>
  <w:style w:type="paragraph" w:styleId="ListBullet3">
    <w:name w:val="List Bullet 3"/>
    <w:basedOn w:val="List3"/>
    <w:rsid w:val="00D96AEB"/>
    <w:pPr>
      <w:numPr>
        <w:numId w:val="14"/>
      </w:numPr>
      <w:tabs>
        <w:tab w:val="clear" w:pos="1021"/>
      </w:tabs>
      <w:ind w:left="1037" w:hanging="357"/>
    </w:pPr>
  </w:style>
  <w:style w:type="paragraph" w:styleId="ListBullet4">
    <w:name w:val="List Bullet 4"/>
    <w:basedOn w:val="List4"/>
    <w:rsid w:val="00D96AEB"/>
    <w:pPr>
      <w:numPr>
        <w:numId w:val="2"/>
      </w:numPr>
    </w:pPr>
  </w:style>
  <w:style w:type="paragraph" w:styleId="ListBullet5">
    <w:name w:val="List Bullet 5"/>
    <w:basedOn w:val="List5"/>
    <w:rsid w:val="00D96AEB"/>
    <w:pPr>
      <w:numPr>
        <w:numId w:val="3"/>
      </w:numPr>
    </w:pPr>
  </w:style>
  <w:style w:type="paragraph" w:styleId="ListContinue2">
    <w:name w:val="List Continue 2"/>
    <w:basedOn w:val="List2"/>
    <w:rsid w:val="00D96AEB"/>
    <w:pPr>
      <w:ind w:firstLine="0"/>
    </w:pPr>
  </w:style>
  <w:style w:type="paragraph" w:styleId="ListContinue3">
    <w:name w:val="List Continue 3"/>
    <w:basedOn w:val="List3"/>
    <w:rsid w:val="00D96AEB"/>
    <w:pPr>
      <w:ind w:left="1021" w:firstLine="0"/>
    </w:pPr>
  </w:style>
  <w:style w:type="paragraph" w:styleId="ListContinue4">
    <w:name w:val="List Continue 4"/>
    <w:basedOn w:val="List4"/>
    <w:rsid w:val="00D96AEB"/>
    <w:pPr>
      <w:ind w:firstLine="0"/>
    </w:pPr>
  </w:style>
  <w:style w:type="paragraph" w:styleId="ListContinue5">
    <w:name w:val="List Continue 5"/>
    <w:basedOn w:val="List5"/>
    <w:rsid w:val="00D96AEB"/>
    <w:pPr>
      <w:ind w:firstLine="0"/>
    </w:pPr>
  </w:style>
  <w:style w:type="paragraph" w:styleId="ListNumber3">
    <w:name w:val="List Number 3"/>
    <w:basedOn w:val="List3"/>
    <w:rsid w:val="00D96AEB"/>
    <w:pPr>
      <w:numPr>
        <w:numId w:val="4"/>
      </w:numPr>
    </w:pPr>
  </w:style>
  <w:style w:type="paragraph" w:styleId="ListNumber4">
    <w:name w:val="List Number 4"/>
    <w:basedOn w:val="List4"/>
    <w:rsid w:val="00D96AEB"/>
    <w:pPr>
      <w:numPr>
        <w:numId w:val="5"/>
      </w:numPr>
    </w:pPr>
  </w:style>
  <w:style w:type="paragraph" w:styleId="ListNumber5">
    <w:name w:val="List Number 5"/>
    <w:basedOn w:val="List5"/>
    <w:rsid w:val="00D96AEB"/>
    <w:pPr>
      <w:numPr>
        <w:numId w:val="6"/>
      </w:numPr>
    </w:pPr>
  </w:style>
  <w:style w:type="paragraph" w:styleId="BlockText">
    <w:name w:val="Block Text"/>
    <w:basedOn w:val="Normal"/>
    <w:rsid w:val="00D96AEB"/>
    <w:pPr>
      <w:spacing w:after="120"/>
      <w:ind w:left="1440" w:right="1440"/>
    </w:pPr>
  </w:style>
  <w:style w:type="character" w:customStyle="1" w:styleId="Subscript">
    <w:name w:val="Subscript"/>
    <w:basedOn w:val="DefaultParagraphFont"/>
    <w:rsid w:val="00D96AEB"/>
    <w:rPr>
      <w:sz w:val="16"/>
      <w:vertAlign w:val="subscript"/>
    </w:rPr>
  </w:style>
  <w:style w:type="character" w:customStyle="1" w:styleId="Superscript">
    <w:name w:val="Superscript"/>
    <w:basedOn w:val="DefaultParagraphFont"/>
    <w:rsid w:val="00D96AEB"/>
    <w:rPr>
      <w:sz w:val="16"/>
      <w:vertAlign w:val="superscript"/>
    </w:rPr>
  </w:style>
  <w:style w:type="character" w:customStyle="1" w:styleId="Symbols">
    <w:name w:val="Symbols"/>
    <w:basedOn w:val="DefaultParagraphFont"/>
    <w:rsid w:val="00D96AEB"/>
    <w:rPr>
      <w:rFonts w:ascii="Symbol" w:hAnsi="Symbol"/>
    </w:rPr>
  </w:style>
  <w:style w:type="character" w:customStyle="1" w:styleId="MenuOptions">
    <w:name w:val="Menu Options"/>
    <w:basedOn w:val="DefaultParagraphFont"/>
    <w:rsid w:val="00D96AEB"/>
    <w:rPr>
      <w:rFonts w:ascii="Arial Narrow" w:hAnsi="Arial Narrow"/>
      <w:smallCaps/>
    </w:rPr>
  </w:style>
  <w:style w:type="character" w:customStyle="1" w:styleId="Buttons">
    <w:name w:val="Buttons"/>
    <w:basedOn w:val="DefaultParagraphFont"/>
    <w:rsid w:val="00D96AEB"/>
    <w:rPr>
      <w:b/>
    </w:rPr>
  </w:style>
  <w:style w:type="character" w:customStyle="1" w:styleId="Underlined">
    <w:name w:val="Underlined"/>
    <w:basedOn w:val="DefaultParagraphFont"/>
    <w:rsid w:val="00D96AEB"/>
    <w:rPr>
      <w:u w:val="single"/>
    </w:rPr>
  </w:style>
  <w:style w:type="paragraph" w:customStyle="1" w:styleId="TableBodyTextRight">
    <w:name w:val="Table Body Text Right"/>
    <w:basedOn w:val="TableBodyText"/>
    <w:rsid w:val="00D96AEB"/>
    <w:pPr>
      <w:widowControl w:val="0"/>
      <w:autoSpaceDE w:val="0"/>
      <w:autoSpaceDN w:val="0"/>
      <w:adjustRightInd w:val="0"/>
      <w:jc w:val="right"/>
    </w:pPr>
    <w:rPr>
      <w:rFonts w:cs="Arial"/>
      <w:szCs w:val="18"/>
    </w:rPr>
  </w:style>
  <w:style w:type="paragraph" w:customStyle="1" w:styleId="CopyrightText">
    <w:name w:val="Copyright Text"/>
    <w:basedOn w:val="BodyText"/>
    <w:rsid w:val="00D96AEB"/>
    <w:rPr>
      <w:sz w:val="18"/>
    </w:rPr>
  </w:style>
  <w:style w:type="paragraph" w:customStyle="1" w:styleId="BodySmallRight">
    <w:name w:val="Body Small Right"/>
    <w:basedOn w:val="BodyTextRight"/>
    <w:rsid w:val="00D96AEB"/>
    <w:rPr>
      <w:sz w:val="18"/>
      <w:szCs w:val="18"/>
    </w:rPr>
  </w:style>
  <w:style w:type="paragraph" w:customStyle="1" w:styleId="MarginEdition">
    <w:name w:val="Margin Edition"/>
    <w:basedOn w:val="MarginNote"/>
    <w:rsid w:val="00D96AEB"/>
    <w:pPr>
      <w:spacing w:before="0" w:after="0"/>
    </w:pPr>
    <w:rPr>
      <w:rFonts w:ascii="Times New Roman" w:hAnsi="Times New Roman"/>
      <w:color w:val="999999"/>
    </w:rPr>
  </w:style>
  <w:style w:type="paragraph" w:customStyle="1" w:styleId="Spacer">
    <w:name w:val="Spacer"/>
    <w:basedOn w:val="Normal"/>
    <w:rsid w:val="00D96AEB"/>
    <w:rPr>
      <w:sz w:val="2"/>
      <w:szCs w:val="2"/>
    </w:rPr>
  </w:style>
  <w:style w:type="character" w:customStyle="1" w:styleId="Small">
    <w:name w:val="Small"/>
    <w:basedOn w:val="DefaultParagraphFont"/>
    <w:rsid w:val="00D96AEB"/>
    <w:rPr>
      <w:sz w:val="16"/>
    </w:rPr>
  </w:style>
  <w:style w:type="paragraph" w:customStyle="1" w:styleId="WideTable">
    <w:name w:val="Wide Table"/>
    <w:basedOn w:val="Normal"/>
    <w:rsid w:val="00D96AEB"/>
    <w:pPr>
      <w:ind w:left="-1418"/>
    </w:pPr>
    <w:rPr>
      <w:sz w:val="2"/>
      <w:szCs w:val="2"/>
    </w:rPr>
  </w:style>
  <w:style w:type="character" w:styleId="PageNumber">
    <w:name w:val="page number"/>
    <w:basedOn w:val="DefaultParagraphFont"/>
    <w:rsid w:val="00D96AEB"/>
  </w:style>
  <w:style w:type="paragraph" w:styleId="Quote">
    <w:name w:val="Quote"/>
    <w:basedOn w:val="Heading1"/>
    <w:link w:val="QuoteChar"/>
    <w:qFormat/>
    <w:rsid w:val="00D96AEB"/>
    <w:rPr>
      <w:b w:val="0"/>
      <w:sz w:val="72"/>
      <w:szCs w:val="72"/>
      <w:lang w:val="en-NZ"/>
    </w:rPr>
  </w:style>
  <w:style w:type="character" w:customStyle="1" w:styleId="QuoteChar">
    <w:name w:val="Quote Char"/>
    <w:basedOn w:val="DefaultParagraphFont"/>
    <w:link w:val="Quote"/>
    <w:rsid w:val="00D96AE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96AEB"/>
    <w:pPr>
      <w:pageBreakBefore/>
    </w:pPr>
  </w:style>
  <w:style w:type="paragraph" w:customStyle="1" w:styleId="Border">
    <w:name w:val="Border"/>
    <w:basedOn w:val="Normal"/>
    <w:qFormat/>
    <w:rsid w:val="00D96AE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96AEB"/>
    <w:rPr>
      <w:b/>
      <w:bCs/>
      <w:i/>
      <w:iCs/>
      <w:color w:val="auto"/>
    </w:rPr>
  </w:style>
  <w:style w:type="paragraph" w:styleId="IntenseQuote">
    <w:name w:val="Intense Quote"/>
    <w:basedOn w:val="Normal"/>
    <w:next w:val="Normal"/>
    <w:link w:val="IntenseQuoteChar"/>
    <w:uiPriority w:val="30"/>
    <w:qFormat/>
    <w:rsid w:val="00D96AE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96AE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96AEB"/>
    <w:rPr>
      <w:smallCaps/>
      <w:color w:val="auto"/>
      <w:u w:val="single"/>
    </w:rPr>
  </w:style>
  <w:style w:type="character" w:styleId="IntenseReference">
    <w:name w:val="Intense Reference"/>
    <w:basedOn w:val="DefaultParagraphFont"/>
    <w:uiPriority w:val="32"/>
    <w:qFormat/>
    <w:rsid w:val="00D96AEB"/>
    <w:rPr>
      <w:b/>
      <w:bCs/>
      <w:smallCaps/>
      <w:color w:val="auto"/>
      <w:spacing w:val="5"/>
      <w:u w:val="single"/>
    </w:rPr>
  </w:style>
  <w:style w:type="paragraph" w:customStyle="1" w:styleId="2ColumnHeading">
    <w:name w:val="2Column Heading"/>
    <w:basedOn w:val="BodyText"/>
    <w:qFormat/>
    <w:rsid w:val="00D96AEB"/>
    <w:pPr>
      <w:spacing w:after="60"/>
      <w:ind w:left="-2268"/>
    </w:pPr>
    <w:rPr>
      <w:b/>
    </w:rPr>
  </w:style>
  <w:style w:type="paragraph" w:customStyle="1" w:styleId="Heading1TOC">
    <w:name w:val="Heading1 TOC"/>
    <w:basedOn w:val="Normal"/>
    <w:qFormat/>
    <w:rsid w:val="00D96AEB"/>
    <w:pPr>
      <w:spacing w:before="240" w:after="120"/>
    </w:pPr>
    <w:rPr>
      <w:rFonts w:ascii="Times New Roman" w:hAnsi="Times New Roman"/>
      <w:b/>
      <w:sz w:val="32"/>
    </w:rPr>
  </w:style>
  <w:style w:type="paragraph" w:customStyle="1" w:styleId="Heading2TOC">
    <w:name w:val="Heading2 TOC"/>
    <w:basedOn w:val="Normal"/>
    <w:qFormat/>
    <w:rsid w:val="00D96AEB"/>
    <w:pPr>
      <w:spacing w:before="240" w:after="60"/>
    </w:pPr>
    <w:rPr>
      <w:rFonts w:ascii="Times New Roman" w:hAnsi="Times New Roman"/>
      <w:b/>
      <w:sz w:val="28"/>
    </w:rPr>
  </w:style>
  <w:style w:type="character" w:customStyle="1" w:styleId="Underline">
    <w:name w:val="Underline"/>
    <w:basedOn w:val="DefaultParagraphFont"/>
    <w:qFormat/>
    <w:rsid w:val="00D96AEB"/>
    <w:rPr>
      <w:u w:val="single"/>
    </w:rPr>
  </w:style>
  <w:style w:type="paragraph" w:styleId="BalloonText">
    <w:name w:val="Balloon Text"/>
    <w:basedOn w:val="Normal"/>
    <w:link w:val="BalloonTextChar"/>
    <w:rsid w:val="00D96AEB"/>
    <w:rPr>
      <w:rFonts w:ascii="Tahoma" w:hAnsi="Tahoma" w:cs="Tahoma"/>
      <w:sz w:val="16"/>
      <w:szCs w:val="16"/>
    </w:rPr>
  </w:style>
  <w:style w:type="character" w:customStyle="1" w:styleId="BalloonTextChar">
    <w:name w:val="Balloon Text Char"/>
    <w:basedOn w:val="DefaultParagraphFont"/>
    <w:link w:val="BalloonText"/>
    <w:rsid w:val="00D96AE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96AEB"/>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D96AE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96AEB"/>
    <w:rPr>
      <w:b/>
      <w:color w:val="660033"/>
      <w:spacing w:val="0"/>
    </w:rPr>
  </w:style>
  <w:style w:type="paragraph" w:customStyle="1" w:styleId="Nameditemlist">
    <w:name w:val="Named item list"/>
    <w:basedOn w:val="BodyText"/>
    <w:qFormat/>
    <w:rsid w:val="00D96AEB"/>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1311</Words>
  <Characters>8526</Characters>
  <Application>Microsoft Office Word</Application>
  <DocSecurity>0</DocSecurity>
  <Lines>264</Lines>
  <Paragraphs>139</Paragraphs>
  <ScaleCrop>false</ScaleCrop>
  <Company>Author-it Software Corporation Ltd.</Company>
  <LinksUpToDate>false</LinksUpToDate>
  <CharactersWithSpaces>9768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AHCILM305A Work with an Aboriginal Community or organisation</dc:title>
  <dc:subject>Approved</dc:subject>
  <dc:creator>AgriFood Skills Australia</dc:creator>
  <cp:keywords>Release:</cp:keywords>
  <dc:description>Copyright © 1996-2007 Author-it Software Corporation Ltd., all rights reserved.</dc:description>
  <cp:lastModifiedBy>TPCMS</cp:lastModifiedBy>
  <cp:revision>3</cp:revision>
  <dcterms:created xsi:type="dcterms:W3CDTF">2013-02-28T23:22:00Z</dcterms:created>
  <dcterms:modified xsi:type="dcterms:W3CDTF">2013-02-28T23:22:00Z</dcterms:modified>
</cp:coreProperties>
</file>