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610" w:rsidP="009D6610">
      <w:pPr>
        <w:pStyle w:val="Title"/>
      </w:pPr>
      <w:r>
        <w:fldChar w:fldCharType="begin"/>
      </w:r>
      <w:r>
        <w:instrText xml:space="preserve"> TITLE   \* MERGEFORMAT </w:instrText>
      </w:r>
      <w:r>
        <w:fldChar w:fldCharType="separate"/>
      </w:r>
      <w:r>
        <w:t>AHCEXP302A Identify and select explosive products</w:t>
      </w:r>
      <w:r>
        <w:fldChar w:fldCharType="end"/>
      </w:r>
    </w:p>
    <w:p w:rsidR="009D6610" w:rsidP="009D6610">
      <w:pPr>
        <w:pStyle w:val="Version"/>
        <w:sectPr w:rsidSect="00B36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C84" w:rsidP="00B36C84">
      <w:pPr>
        <w:pStyle w:val="SuperHeading"/>
      </w:pPr>
      <w:r w:rsidRPr="00B36C84">
        <w:t>AHCEXP302A Identify and select explosive products</w:t>
      </w:r>
    </w:p>
    <w:p w:rsidR="00000000" w:rsidRPr="00B36C84" w:rsidP="00B36C84">
      <w:pPr>
        <w:pStyle w:val="Heading1"/>
      </w:pPr>
      <w:bookmarkStart w:id="1" w:name="O_267795"/>
      <w:bookmarkEnd w:id="1"/>
      <w:r w:rsidRPr="00B36C84">
        <w:t>Modification History</w:t>
      </w:r>
    </w:p>
    <w:p w:rsidR="00000000" w:rsidRPr="00B36C84" w:rsidP="00B36C84">
      <w:pPr>
        <w:pStyle w:val="BodyText"/>
      </w:pPr>
      <w:r w:rsidRPr="00B36C84">
        <w:t>Not Applicable</w:t>
      </w:r>
    </w:p>
    <w:p w:rsidR="00000000" w:rsidRPr="00B36C84" w:rsidP="00B36C84">
      <w:pPr>
        <w:pStyle w:val="AllowPageBreak"/>
      </w:pPr>
    </w:p>
    <w:p w:rsidR="00000000" w:rsidRPr="00B36C84" w:rsidP="00B36C84">
      <w:pPr>
        <w:pStyle w:val="Heading1"/>
      </w:pPr>
      <w:bookmarkStart w:id="2" w:name="O_187708"/>
      <w:bookmarkEnd w:id="2"/>
      <w:r w:rsidRPr="00B36C84">
        <w:t>Unit Descriptor</w:t>
      </w:r>
    </w:p>
    <w:tbl>
      <w:tblPr>
        <w:tblW w:w="0" w:type="auto"/>
        <w:tblLayout w:type="fixed"/>
        <w:tblCellMar>
          <w:left w:w="62" w:type="dxa"/>
          <w:right w:w="62" w:type="dxa"/>
        </w:tblCellMar>
        <w:tblLook w:val="0000"/>
      </w:tblPr>
      <w:tblGrid>
        <w:gridCol w:w="2667"/>
        <w:gridCol w:w="5855"/>
      </w:tblGrid>
      <w:tr w:rsidTr="009D661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This unit covers the process of identifying and selecting explosive products and/or suitable mixtures</w:t>
            </w:r>
            <w:r w:rsidRPr="00B36C84">
              <w:t xml:space="preserve"> that can be used for blasting for agricultural or land management purposes and defines the standard required to:  establish the need to use explosives;  identify the risks and environmental implications of using explosives;  select explosives and initiato</w:t>
            </w:r>
            <w:r w:rsidRPr="00B36C84">
              <w:t>r devices to match the application;  site and identified hazards at the blasting site;  utilise safety fuses as required;  select appropriate fly-rock control devices.</w:t>
            </w:r>
          </w:p>
        </w:tc>
      </w:tr>
    </w:tbl>
    <w:p w:rsidR="009D6610" w:rsidP="00B36C84">
      <w:pPr>
        <w:pStyle w:val="BodyText"/>
      </w:pPr>
    </w:p>
    <w:p w:rsidR="009D6610" w:rsidP="00B36C84">
      <w:pPr>
        <w:pStyle w:val="BodyText"/>
      </w:pPr>
    </w:p>
    <w:p w:rsidR="00000000" w:rsidRPr="00B36C84" w:rsidP="00B36C84">
      <w:pPr>
        <w:pStyle w:val="Heading1"/>
      </w:pPr>
      <w:bookmarkStart w:id="3" w:name="O_187712"/>
      <w:bookmarkEnd w:id="3"/>
      <w:r w:rsidRPr="00B36C84">
        <w:t>Application of the Unit</w:t>
      </w:r>
    </w:p>
    <w:tbl>
      <w:tblPr>
        <w:tblW w:w="0" w:type="auto"/>
        <w:tblLayout w:type="fixed"/>
        <w:tblCellMar>
          <w:left w:w="62" w:type="dxa"/>
          <w:right w:w="62" w:type="dxa"/>
        </w:tblCellMar>
        <w:tblLook w:val="0000"/>
      </w:tblPr>
      <w:tblGrid>
        <w:gridCol w:w="2753"/>
        <w:gridCol w:w="5769"/>
      </w:tblGrid>
      <w:tr w:rsidTr="009D661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This unit is likely to be carried out unsupervised.  Responsibility for the safety of others is an important part of the application of this standard.</w:t>
            </w:r>
          </w:p>
        </w:tc>
      </w:tr>
    </w:tbl>
    <w:p w:rsidR="009D6610" w:rsidP="00B36C84">
      <w:pPr>
        <w:pStyle w:val="BodyText"/>
      </w:pPr>
    </w:p>
    <w:p w:rsidR="009D6610" w:rsidP="00B36C84">
      <w:pPr>
        <w:pStyle w:val="BodyText"/>
      </w:pPr>
    </w:p>
    <w:p w:rsidR="00000000" w:rsidRPr="00B36C84" w:rsidP="00B36C84">
      <w:pPr>
        <w:pStyle w:val="Heading1"/>
      </w:pPr>
      <w:bookmarkStart w:id="4" w:name="O_276055"/>
      <w:bookmarkEnd w:id="4"/>
      <w:r w:rsidRPr="00B36C84">
        <w:t>Licensing/Regulatory Information</w:t>
      </w:r>
    </w:p>
    <w:p w:rsidR="00000000" w:rsidRPr="00B36C84" w:rsidP="00B36C84">
      <w:pPr>
        <w:pStyle w:val="BodyText"/>
      </w:pPr>
      <w:r w:rsidRPr="00B36C84">
        <w:t>Not Applicable</w:t>
      </w:r>
    </w:p>
    <w:p w:rsidR="00000000" w:rsidRPr="00B36C84" w:rsidP="00B36C84">
      <w:pPr>
        <w:pStyle w:val="AllowPageBreak"/>
      </w:pPr>
    </w:p>
    <w:p w:rsidR="00000000" w:rsidRPr="00B36C84" w:rsidP="00B36C84">
      <w:pPr>
        <w:pStyle w:val="Heading1"/>
      </w:pPr>
      <w:bookmarkStart w:id="5" w:name="O_187710"/>
      <w:bookmarkEnd w:id="5"/>
      <w:r w:rsidRPr="00B36C84">
        <w:t>Pre-Requisites</w:t>
      </w:r>
    </w:p>
    <w:tbl>
      <w:tblPr>
        <w:tblW w:w="0" w:type="auto"/>
        <w:tblLayout w:type="fixed"/>
        <w:tblCellMar>
          <w:left w:w="62" w:type="dxa"/>
          <w:right w:w="62" w:type="dxa"/>
        </w:tblCellMar>
        <w:tblLook w:val="0000"/>
      </w:tblPr>
      <w:tblGrid>
        <w:gridCol w:w="2775"/>
        <w:gridCol w:w="1295"/>
        <w:gridCol w:w="4452"/>
      </w:tblGrid>
      <w:tr w:rsidTr="009D66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p>
        </w:tc>
      </w:tr>
    </w:tbl>
    <w:p w:rsidR="009D6610" w:rsidP="00B36C84">
      <w:pPr>
        <w:pStyle w:val="BodyText"/>
      </w:pPr>
    </w:p>
    <w:p w:rsidR="009D6610" w:rsidP="00B36C84">
      <w:pPr>
        <w:pStyle w:val="BodyText"/>
      </w:pPr>
    </w:p>
    <w:p w:rsidR="00000000" w:rsidRPr="00B36C84" w:rsidP="00B36C84">
      <w:pPr>
        <w:pStyle w:val="Heading1"/>
      </w:pPr>
      <w:bookmarkStart w:id="6" w:name="O_187709"/>
      <w:bookmarkEnd w:id="6"/>
      <w:r w:rsidRPr="00B36C84">
        <w:t>Employability Skills Information</w:t>
      </w:r>
    </w:p>
    <w:tbl>
      <w:tblPr>
        <w:tblW w:w="0" w:type="auto"/>
        <w:tblLayout w:type="fixed"/>
        <w:tblCellMar>
          <w:left w:w="62" w:type="dxa"/>
          <w:right w:w="62" w:type="dxa"/>
        </w:tblCellMar>
        <w:tblLook w:val="0000"/>
      </w:tblPr>
      <w:tblGrid>
        <w:gridCol w:w="2802"/>
        <w:gridCol w:w="5720"/>
      </w:tblGrid>
      <w:tr w:rsidTr="009D66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This unit contains employability skills.</w:t>
            </w:r>
          </w:p>
        </w:tc>
      </w:tr>
    </w:tbl>
    <w:p w:rsidR="009D6610" w:rsidP="00B36C84">
      <w:pPr>
        <w:pStyle w:val="BodyText"/>
      </w:pPr>
    </w:p>
    <w:p w:rsidR="009D6610" w:rsidP="00B36C84">
      <w:pPr>
        <w:pStyle w:val="BodyText"/>
      </w:pPr>
    </w:p>
    <w:p w:rsidR="00000000" w:rsidRPr="00B36C84" w:rsidP="00B36C84">
      <w:pPr>
        <w:pStyle w:val="Heading1"/>
      </w:pPr>
      <w:bookmarkStart w:id="7" w:name="O_285841"/>
      <w:bookmarkEnd w:id="7"/>
      <w:r w:rsidRPr="00B36C84">
        <w:t>Elements and Performance Criteria Pre-Content</w:t>
      </w:r>
    </w:p>
    <w:p w:rsidR="00000000" w:rsidRPr="00B36C84" w:rsidP="00B36C84">
      <w:pPr>
        <w:pStyle w:val="BodyText"/>
      </w:pPr>
      <w:r w:rsidRPr="00B36C84">
        <w:t>Not Applicable</w:t>
      </w:r>
    </w:p>
    <w:p w:rsidR="00000000" w:rsidRPr="00B36C84" w:rsidP="00B36C84">
      <w:pPr>
        <w:pStyle w:val="AllowPageBreak"/>
      </w:pPr>
    </w:p>
    <w:p w:rsidR="00000000" w:rsidRPr="00B36C84" w:rsidP="00B36C84">
      <w:pPr>
        <w:pStyle w:val="Heading1"/>
      </w:pPr>
      <w:bookmarkStart w:id="8" w:name="O_232508"/>
      <w:bookmarkEnd w:id="8"/>
      <w:r w:rsidRPr="00B36C84">
        <w:t>Elements and Performance Criteria</w:t>
      </w:r>
    </w:p>
    <w:tbl>
      <w:tblPr>
        <w:tblW w:w="0" w:type="auto"/>
        <w:tblLayout w:type="fixed"/>
        <w:tblCellMar>
          <w:left w:w="62" w:type="dxa"/>
          <w:right w:w="62" w:type="dxa"/>
        </w:tblCellMar>
        <w:tblLook w:val="0000"/>
      </w:tblPr>
      <w:tblGrid>
        <w:gridCol w:w="2537"/>
        <w:gridCol w:w="5985"/>
      </w:tblGrid>
      <w:tr w:rsidTr="009D6610">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PERFORMANCE CRITERIA</w:t>
            </w:r>
          </w:p>
        </w:tc>
      </w:tr>
      <w:tr w:rsidTr="009D661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List"/>
              <w:rPr>
                <w:lang w:val="en-NZ"/>
              </w:rPr>
            </w:pPr>
            <w:r w:rsidRPr="00B36C84">
              <w:t>1.</w:t>
            </w:r>
            <w:r w:rsidRPr="00B36C84">
              <w:tab/>
              <w:t>Identify explosives applications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2"/>
            </w:pPr>
            <w:r w:rsidRPr="00B36C84">
              <w:t>1.1.</w:t>
            </w:r>
            <w:r w:rsidRPr="00B36C84">
              <w:tab/>
              <w:t>The job application requiring the use of explosives is identified in consultation with the field manager or supervisor.</w:t>
            </w:r>
          </w:p>
          <w:p w:rsidR="00000000" w:rsidRPr="00B36C84" w:rsidP="00B36C84">
            <w:pPr>
              <w:pStyle w:val="List2"/>
            </w:pPr>
            <w:r w:rsidRPr="00B36C84">
              <w:t>1.2.</w:t>
            </w:r>
            <w:r w:rsidRPr="00B36C84">
              <w:tab/>
            </w:r>
            <w:r w:rsidRPr="00B36C84">
              <w:t>The site for blasting is accurately identified and the surrounding area checked to confirm that all aspects of safety have been considered and actioned.</w:t>
            </w:r>
          </w:p>
          <w:p w:rsidR="00000000" w:rsidRPr="00B36C84" w:rsidP="00B36C84">
            <w:pPr>
              <w:pStyle w:val="List2"/>
            </w:pPr>
            <w:r w:rsidRPr="00B36C84">
              <w:t>1.3.</w:t>
            </w:r>
            <w:r w:rsidRPr="00B36C84">
              <w:tab/>
              <w:t>Potential side effects of the blast are identified in consideration of all site characteristics an</w:t>
            </w:r>
            <w:r w:rsidRPr="00B36C84">
              <w:t>d are used in the planning of blasting operations.</w:t>
            </w:r>
          </w:p>
          <w:p w:rsidR="00000000" w:rsidRPr="00B36C84" w:rsidP="00B36C84">
            <w:pPr>
              <w:pStyle w:val="List2"/>
            </w:pPr>
            <w:r w:rsidRPr="00B36C84">
              <w:t>1.4.</w:t>
            </w:r>
            <w:r w:rsidRPr="00B36C84">
              <w:tab/>
              <w:t>Environmental implications of the intended explosives usage are considered in the planning of blasting activities.</w:t>
            </w:r>
          </w:p>
          <w:p w:rsidR="00000000" w:rsidP="00B36C84">
            <w:pPr>
              <w:pStyle w:val="List2"/>
              <w:rPr>
                <w:lang w:val="en-NZ"/>
              </w:rPr>
            </w:pPr>
            <w:r w:rsidRPr="00B36C84">
              <w:t>1.5.</w:t>
            </w:r>
            <w:r w:rsidRPr="00B36C84">
              <w:tab/>
              <w:t>Alternatives to the use of explosives are considered in the planning of the appl</w:t>
            </w:r>
            <w:r w:rsidRPr="00B36C84">
              <w:t>ication and are utilised as appropriate.</w:t>
            </w:r>
          </w:p>
        </w:tc>
      </w:tr>
      <w:tr w:rsidTr="009D6610">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List"/>
              <w:rPr>
                <w:lang w:val="en-NZ"/>
              </w:rPr>
            </w:pPr>
            <w:r w:rsidRPr="00B36C84">
              <w:t>2.</w:t>
            </w:r>
            <w:r w:rsidRPr="00B36C84">
              <w:tab/>
              <w:t>Select explosives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2"/>
            </w:pPr>
            <w:r w:rsidRPr="00B36C84">
              <w:t>2.1.</w:t>
            </w:r>
            <w:r w:rsidRPr="00B36C84">
              <w:tab/>
              <w:t>Explosives are selected to match the application, site and identified hazards at the blasting site.</w:t>
            </w:r>
          </w:p>
          <w:p w:rsidR="00000000" w:rsidRPr="00B36C84" w:rsidP="00B36C84">
            <w:pPr>
              <w:pStyle w:val="List2"/>
            </w:pPr>
            <w:r w:rsidRPr="00B36C84">
              <w:t>2.2.</w:t>
            </w:r>
            <w:r w:rsidRPr="00B36C84">
              <w:tab/>
              <w:t>The quantity of explosive energy required is established in line with th</w:t>
            </w:r>
            <w:r w:rsidRPr="00B36C84">
              <w:t>e site characteristics and the designated application.</w:t>
            </w:r>
          </w:p>
          <w:p w:rsidR="00000000" w:rsidRPr="00B36C84" w:rsidP="00B36C84">
            <w:pPr>
              <w:pStyle w:val="List2"/>
            </w:pPr>
            <w:r w:rsidRPr="00B36C84">
              <w:t>2.3.</w:t>
            </w:r>
            <w:r w:rsidRPr="00B36C84">
              <w:tab/>
              <w:t>Initiator device selection reflects industry best practice and is matched to explosives selection.</w:t>
            </w:r>
          </w:p>
          <w:p w:rsidR="00000000" w:rsidRPr="00B36C84" w:rsidP="00B36C84">
            <w:pPr>
              <w:pStyle w:val="List2"/>
            </w:pPr>
            <w:r w:rsidRPr="00B36C84">
              <w:t>2.4.</w:t>
            </w:r>
            <w:r w:rsidRPr="00B36C84">
              <w:tab/>
              <w:t>Safety fuses are utilised as required to suit the application.</w:t>
            </w:r>
          </w:p>
        </w:tc>
      </w:tr>
    </w:tbl>
    <w:p w:rsidR="009D6610" w:rsidP="00B36C84">
      <w:pPr>
        <w:pStyle w:val="BodyText"/>
      </w:pPr>
    </w:p>
    <w:p w:rsidR="009D6610" w:rsidP="00B36C84">
      <w:pPr>
        <w:pStyle w:val="BodyText"/>
      </w:pPr>
    </w:p>
    <w:p w:rsidR="00000000" w:rsidRPr="00B36C84" w:rsidP="00B36C84">
      <w:pPr>
        <w:pStyle w:val="Heading1"/>
      </w:pPr>
      <w:bookmarkStart w:id="9" w:name="O_256458"/>
      <w:bookmarkEnd w:id="9"/>
      <w:r w:rsidRPr="00B36C84">
        <w:t>Required Skills and Knowledge</w:t>
      </w:r>
    </w:p>
    <w:tbl>
      <w:tblPr>
        <w:tblW w:w="0" w:type="auto"/>
        <w:tblLayout w:type="fixed"/>
        <w:tblCellMar>
          <w:left w:w="62" w:type="dxa"/>
          <w:right w:w="62" w:type="dxa"/>
        </w:tblCellMar>
        <w:tblLook w:val="0000"/>
      </w:tblPr>
      <w:tblGrid>
        <w:gridCol w:w="8522"/>
      </w:tblGrid>
      <w:tr w:rsidTr="009D66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REQUIRED SKILLS AND KNOWLEDGE</w:t>
            </w:r>
          </w:p>
        </w:tc>
      </w:tr>
      <w:tr w:rsidTr="009D66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t>This section describes the skills and knowledge required for this unit.</w:t>
            </w:r>
          </w:p>
        </w:tc>
      </w:tr>
      <w:tr w:rsidTr="009D6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Required skills</w:t>
            </w:r>
          </w:p>
        </w:tc>
      </w:tr>
      <w:tr w:rsidTr="009D6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Bullet"/>
            </w:pPr>
            <w:r w:rsidRPr="00B36C84">
              <w:t>examine explosives and determine their classification</w:t>
            </w:r>
          </w:p>
          <w:p w:rsidR="00000000" w:rsidRPr="00B36C84" w:rsidP="00B36C84">
            <w:pPr>
              <w:pStyle w:val="ListBullet"/>
            </w:pPr>
            <w:r w:rsidRPr="00B36C84">
              <w:t>select explosives for particular tasks</w:t>
            </w:r>
          </w:p>
          <w:p w:rsidR="00000000" w:rsidRPr="00B36C84" w:rsidP="00B36C84">
            <w:pPr>
              <w:pStyle w:val="ListBullet"/>
            </w:pPr>
            <w:r w:rsidRPr="00B36C84">
              <w:t>estimate the likely effect of explosives on structures, personnel and livestock in the site vicinity</w:t>
            </w:r>
          </w:p>
          <w:p w:rsidR="00000000" w:rsidRPr="00B36C84" w:rsidP="00B36C84">
            <w:pPr>
              <w:pStyle w:val="ListBullet"/>
            </w:pPr>
            <w:r w:rsidRPr="00B36C84">
              <w:t>select appropriate fly-rock control devices, e.g., blasting mats as required</w:t>
            </w:r>
          </w:p>
          <w:p w:rsidR="00000000" w:rsidRPr="00B36C84" w:rsidP="00B36C84">
            <w:pPr>
              <w:pStyle w:val="ListBullet"/>
            </w:pPr>
            <w:r w:rsidRPr="00B36C84">
              <w:t xml:space="preserve">use literacy skills to read, interpret and follow organisational policies and </w:t>
            </w:r>
            <w:r w:rsidRPr="00B36C84">
              <w:t>procedures, follow sequenced written instructions, record accurately and legible information collected and select and apply procedures for a range of tasks</w:t>
            </w:r>
          </w:p>
          <w:p w:rsidR="00000000" w:rsidRPr="00B36C84" w:rsidP="00B36C84">
            <w:pPr>
              <w:pStyle w:val="ListBullet"/>
            </w:pPr>
            <w:r w:rsidRPr="00B36C84">
              <w:t>use oral communication skills/language competence to fulfil the job role as specified by the organis</w:t>
            </w:r>
            <w:r w:rsidRPr="00B36C84">
              <w:t>ation, including questioning techniques, active listening, clarifying information and consulting with supervisors as required</w:t>
            </w:r>
          </w:p>
          <w:p w:rsidR="00000000" w:rsidRPr="00B36C84" w:rsidP="00B36C84">
            <w:pPr>
              <w:pStyle w:val="ListBullet"/>
            </w:pPr>
            <w:r w:rsidRPr="00B36C84">
              <w:t>use numeracy skills to estimate, calculate and record routine workplace measures</w:t>
            </w:r>
          </w:p>
          <w:p w:rsidR="00000000" w:rsidP="00B36C84">
            <w:pPr>
              <w:pStyle w:val="ListBullet"/>
              <w:rPr>
                <w:lang w:val="en-NZ"/>
              </w:rPr>
            </w:pPr>
            <w:r w:rsidRPr="00B36C84">
              <w:t>use interpersonal skills to work with and relate to people from a range of cultural, social and religious backgrounds and with a range of physical and mental abilities.</w:t>
            </w:r>
          </w:p>
        </w:tc>
      </w:tr>
      <w:tr w:rsidTr="009D6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Required knowledge</w:t>
            </w:r>
          </w:p>
        </w:tc>
      </w:tr>
      <w:tr w:rsidTr="009D6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Bullet"/>
            </w:pPr>
            <w:r w:rsidRPr="00B36C84">
              <w:t>identification of the components of various explosive products</w:t>
            </w:r>
          </w:p>
          <w:p w:rsidR="00000000" w:rsidRPr="00B36C84" w:rsidP="00B36C84">
            <w:pPr>
              <w:pStyle w:val="ListBullet"/>
            </w:pPr>
            <w:r w:rsidRPr="00B36C84">
              <w:t>in</w:t>
            </w:r>
            <w:r w:rsidRPr="00B36C84">
              <w:t>dications for the uses of various explosive products</w:t>
            </w:r>
          </w:p>
          <w:p w:rsidR="00000000" w:rsidRPr="00B36C84" w:rsidP="00B36C84">
            <w:pPr>
              <w:pStyle w:val="ListBullet"/>
            </w:pPr>
            <w:r w:rsidRPr="00B36C84">
              <w:t>performance of various explosive products, the behaviour of the substrate material (e.g., sand, soil, rock, etc.) when subject to blasting</w:t>
            </w:r>
          </w:p>
          <w:p w:rsidR="00000000" w:rsidRPr="00B36C84" w:rsidP="00B36C84">
            <w:pPr>
              <w:pStyle w:val="ListBullet"/>
            </w:pPr>
            <w:r w:rsidRPr="00B36C84">
              <w:t>jobs requiring the use of explosives (e.g., blowing stumps, rabb</w:t>
            </w:r>
            <w:r w:rsidRPr="00B36C84">
              <w:t>it warrens, excavating a dam site and excavation requirements, fence post holes, tree or vine holes, rock floaters, etc.)</w:t>
            </w:r>
          </w:p>
          <w:p w:rsidR="00000000" w:rsidRPr="00B36C84" w:rsidP="00B36C84">
            <w:pPr>
              <w:pStyle w:val="ListBullet"/>
            </w:pPr>
            <w:r w:rsidRPr="00B36C84">
              <w:t>particular properties of explosives/blasting agents and their suitability for particular purposes</w:t>
            </w:r>
          </w:p>
          <w:p w:rsidR="00000000" w:rsidRPr="00B36C84" w:rsidP="00B36C84">
            <w:pPr>
              <w:pStyle w:val="ListBullet"/>
            </w:pPr>
            <w:r w:rsidRPr="00B36C84">
              <w:t>Australian Standards - A218</w:t>
            </w:r>
          </w:p>
          <w:p w:rsidR="00000000" w:rsidRPr="00B36C84" w:rsidP="00B36C84">
            <w:pPr>
              <w:pStyle w:val="ListBullet"/>
            </w:pPr>
            <w:r w:rsidRPr="00B36C84">
              <w:t>7.1 1998</w:t>
            </w:r>
            <w:r w:rsidRPr="00B36C84">
              <w:t>: Storage and land transport</w:t>
            </w:r>
          </w:p>
          <w:p w:rsidR="00000000" w:rsidRPr="00B36C84" w:rsidP="00B36C84">
            <w:pPr>
              <w:pStyle w:val="ListBullet"/>
            </w:pPr>
            <w:r w:rsidRPr="00B36C84">
              <w:t>Australian Standards - A2187.2 1993: Explosives - storage, transport and use</w:t>
            </w:r>
          </w:p>
          <w:p w:rsidR="00000000" w:rsidRPr="00B36C84" w:rsidP="00B36C84">
            <w:pPr>
              <w:pStyle w:val="ListBullet"/>
            </w:pPr>
            <w:r w:rsidRPr="00B36C84">
              <w:t>Australian Standards - A2187.0 1998: Explosives - Glossary of terms</w:t>
            </w:r>
          </w:p>
          <w:p w:rsidR="00000000" w:rsidRPr="00B36C84" w:rsidP="00B36C84">
            <w:pPr>
              <w:pStyle w:val="ListBullet"/>
            </w:pPr>
            <w:r w:rsidRPr="00B36C84">
              <w:t>other State and Territory legislation.</w:t>
            </w:r>
          </w:p>
        </w:tc>
      </w:tr>
    </w:tbl>
    <w:p w:rsidR="009D6610" w:rsidP="00B36C84">
      <w:pPr>
        <w:pStyle w:val="BodyText"/>
      </w:pPr>
    </w:p>
    <w:p w:rsidR="009D6610" w:rsidP="00B36C84">
      <w:pPr>
        <w:pStyle w:val="BodyText"/>
      </w:pPr>
    </w:p>
    <w:p w:rsidR="00000000" w:rsidRPr="00B36C84" w:rsidP="00B36C84">
      <w:pPr>
        <w:pStyle w:val="AllowPageBreak"/>
      </w:pPr>
    </w:p>
    <w:p w:rsidR="00000000" w:rsidRPr="00B36C84" w:rsidP="00B36C84">
      <w:pPr>
        <w:pStyle w:val="Heading1"/>
      </w:pPr>
      <w:bookmarkStart w:id="10" w:name="O_240492"/>
      <w:bookmarkEnd w:id="10"/>
      <w:r w:rsidRPr="00B36C84">
        <w:t>Evidence Guide</w:t>
      </w:r>
    </w:p>
    <w:tbl>
      <w:tblPr>
        <w:tblW w:w="9570" w:type="dxa"/>
        <w:tblLayout w:type="fixed"/>
        <w:tblCellMar>
          <w:left w:w="62" w:type="dxa"/>
          <w:right w:w="62" w:type="dxa"/>
        </w:tblCellMar>
        <w:tblLook w:val="0000"/>
      </w:tblPr>
      <w:tblGrid>
        <w:gridCol w:w="3908"/>
        <w:gridCol w:w="5662"/>
      </w:tblGrid>
      <w:tr w:rsidTr="009D66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EVIDENCE GUIDE</w:t>
            </w:r>
          </w:p>
        </w:tc>
      </w:tr>
      <w:tr w:rsidTr="009D66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t>The evidence guide provides advice on assessment and must be read in conjunction with the performance criteria, required skills and knowledge, range statement and the Assessment Guidelines for the Training Package.</w:t>
            </w:r>
          </w:p>
        </w:tc>
      </w:tr>
      <w:tr w:rsidTr="009D6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 xml:space="preserve">The evidence required to demonstrate competency in this unit must be relevant to workplace operations and satisfy holistically all of the </w:t>
            </w:r>
            <w:r w:rsidRPr="00B36C84">
              <w:t xml:space="preserve">requirements of the performance criteria and required skills and knowledge and include achievement of the following: </w:t>
            </w:r>
          </w:p>
          <w:p w:rsidR="00000000" w:rsidRPr="00B36C84" w:rsidP="00B36C84">
            <w:pPr>
              <w:pStyle w:val="ListBullet"/>
            </w:pPr>
            <w:r w:rsidRPr="00B36C84">
              <w:t>establish the need to use explosives</w:t>
            </w:r>
          </w:p>
          <w:p w:rsidR="00000000" w:rsidRPr="00B36C84" w:rsidP="00B36C84">
            <w:pPr>
              <w:pStyle w:val="ListBullet"/>
            </w:pPr>
            <w:r w:rsidRPr="00B36C84">
              <w:t>identify the risks and environmental implications of using explosives</w:t>
            </w:r>
          </w:p>
          <w:p w:rsidR="00000000" w:rsidRPr="00B36C84" w:rsidP="00B36C84">
            <w:pPr>
              <w:pStyle w:val="ListBullet"/>
            </w:pPr>
            <w:r w:rsidRPr="00B36C84">
              <w:t>select explosives and initiator devices to match the application, site and identified hazards at the blasting site</w:t>
            </w:r>
          </w:p>
          <w:p w:rsidR="00000000" w:rsidRPr="00B36C84" w:rsidP="00B36C84">
            <w:pPr>
              <w:pStyle w:val="ListBullet"/>
            </w:pPr>
            <w:r w:rsidRPr="00B36C84">
              <w:t xml:space="preserve">utilise safety fuses as required </w:t>
            </w:r>
          </w:p>
          <w:p w:rsidR="00000000" w:rsidP="00B36C84">
            <w:pPr>
              <w:pStyle w:val="ListBullet"/>
              <w:rPr>
                <w:lang w:val="en-NZ"/>
              </w:rPr>
            </w:pPr>
            <w:r w:rsidRPr="00B36C84">
              <w:t>select appropriate fly-rock control devices.</w:t>
            </w:r>
          </w:p>
        </w:tc>
      </w:tr>
      <w:tr w:rsidTr="009D6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Competency r</w:t>
            </w:r>
            <w:r w:rsidRPr="00B36C84">
              <w:t>equires the application of work practices under work conditions.  Selection and use of resources for some worksites may differ due to the regional or enterprise circumstances.</w:t>
            </w:r>
          </w:p>
        </w:tc>
      </w:tr>
    </w:tbl>
    <w:p w:rsidR="009D6610" w:rsidP="00B36C84">
      <w:pPr>
        <w:pStyle w:val="BodyText"/>
      </w:pPr>
    </w:p>
    <w:p w:rsidR="009D6610" w:rsidP="00B36C84">
      <w:pPr>
        <w:pStyle w:val="BodyText"/>
      </w:pPr>
    </w:p>
    <w:p w:rsidR="00000000" w:rsidRPr="00B36C84" w:rsidP="00B36C84">
      <w:pPr>
        <w:pStyle w:val="Heading1"/>
      </w:pPr>
      <w:bookmarkStart w:id="11" w:name="O_248475"/>
      <w:bookmarkEnd w:id="11"/>
      <w:r w:rsidRPr="00B36C84">
        <w:t>Range Statement</w:t>
      </w:r>
    </w:p>
    <w:tbl>
      <w:tblPr>
        <w:tblW w:w="0" w:type="auto"/>
        <w:tblLayout w:type="fixed"/>
        <w:tblCellMar>
          <w:left w:w="62" w:type="dxa"/>
          <w:right w:w="62" w:type="dxa"/>
        </w:tblCellMar>
        <w:tblLook w:val="0000"/>
      </w:tblPr>
      <w:tblGrid>
        <w:gridCol w:w="3365"/>
        <w:gridCol w:w="5157"/>
      </w:tblGrid>
      <w:tr w:rsidTr="009D66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RANGE STATEMENT</w:t>
            </w:r>
          </w:p>
        </w:tc>
      </w:tr>
      <w:tr w:rsidTr="009D66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t>The range statement relates to the unit of competency as a whole.</w:t>
            </w:r>
          </w:p>
        </w:tc>
      </w:tr>
      <w:tr w:rsidTr="009D6610">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t>Types of explosive charges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Bullet"/>
            </w:pPr>
            <w:r w:rsidRPr="00B36C84">
              <w:t xml:space="preserve">bulk charges that are commercially procured such as: </w:t>
            </w:r>
          </w:p>
          <w:p w:rsidR="00000000" w:rsidRPr="00B36C84" w:rsidP="00B36C84">
            <w:pPr>
              <w:pStyle w:val="ListBullet2"/>
            </w:pPr>
            <w:r w:rsidRPr="00B36C84">
              <w:t>explosives/blasting agents or ammonium nitrate/Fuel Oil (ANFO)</w:t>
            </w:r>
          </w:p>
          <w:p w:rsidR="00000000" w:rsidRPr="00B36C84" w:rsidP="00B36C84">
            <w:pPr>
              <w:pStyle w:val="ListBullet2"/>
            </w:pPr>
            <w:r w:rsidRPr="00B36C84">
              <w:t>compounds mixed on site.</w:t>
            </w:r>
          </w:p>
          <w:p w:rsidR="00000000" w:rsidRPr="00B36C84" w:rsidP="00B36C84">
            <w:pPr>
              <w:pStyle w:val="ListBullet"/>
            </w:pPr>
            <w:r w:rsidRPr="00B36C84">
              <w:t>explosive compounds such as:</w:t>
            </w:r>
          </w:p>
          <w:p w:rsidR="00000000" w:rsidRPr="00B36C84" w:rsidP="00B36C84">
            <w:pPr>
              <w:pStyle w:val="ListBullet2"/>
            </w:pPr>
            <w:r w:rsidRPr="00B36C84">
              <w:t>water gels</w:t>
            </w:r>
          </w:p>
          <w:p w:rsidR="00000000" w:rsidRPr="00B36C84" w:rsidP="00B36C84">
            <w:pPr>
              <w:pStyle w:val="ListBullet2"/>
            </w:pPr>
            <w:r w:rsidRPr="00B36C84">
              <w:t>slurries</w:t>
            </w:r>
          </w:p>
          <w:p w:rsidR="00000000" w:rsidRPr="00B36C84" w:rsidP="00B36C84">
            <w:pPr>
              <w:pStyle w:val="ListBullet2"/>
            </w:pPr>
            <w:r w:rsidRPr="00B36C84">
              <w:t>emulsions</w:t>
            </w:r>
          </w:p>
          <w:p w:rsidR="00000000" w:rsidRPr="00B36C84" w:rsidP="00B36C84">
            <w:pPr>
              <w:pStyle w:val="ListBullet2"/>
            </w:pPr>
            <w:r w:rsidRPr="00B36C84">
              <w:t>ammonium nitrate explosives (ANFO)</w:t>
            </w:r>
          </w:p>
          <w:p w:rsidR="00000000" w:rsidRPr="00B36C84" w:rsidP="00B36C84">
            <w:pPr>
              <w:pStyle w:val="ListBullet2"/>
            </w:pPr>
            <w:r w:rsidRPr="00B36C84">
              <w:t>black powder</w:t>
            </w:r>
          </w:p>
          <w:p w:rsidR="00000000" w:rsidP="00B36C84">
            <w:pPr>
              <w:pStyle w:val="ListBullet2"/>
              <w:rPr>
                <w:lang w:val="en-NZ"/>
              </w:rPr>
            </w:pPr>
            <w:r w:rsidRPr="00B36C84">
              <w:t>special purpose explosives.</w:t>
            </w:r>
          </w:p>
        </w:tc>
      </w:tr>
      <w:tr w:rsidTr="009D6610">
        <w:tblPrEx>
          <w:tblW w:w="0" w:type="auto"/>
          <w:tblLayout w:type="fixed"/>
          <w:tblCellMar>
            <w:left w:w="62" w:type="dxa"/>
            <w:right w:w="62" w:type="dxa"/>
          </w:tblCellMar>
          <w:tblLook w:val="0000"/>
        </w:tblPrEx>
        <w:tc>
          <w:tcPr>
            <w:tcW w:w="3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t>Relevant legislation may include:</w:t>
            </w:r>
          </w:p>
        </w:tc>
        <w:tc>
          <w:tcPr>
            <w:tcW w:w="5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ListBullet"/>
            </w:pPr>
            <w:r w:rsidRPr="00B36C84">
              <w:t xml:space="preserve">Australian Standards and legislation that relate to this standard are Australian </w:t>
            </w:r>
            <w:r w:rsidRPr="00B36C84">
              <w:t>Standards - A2187.1 1998: Storage and land transport. Australian Standards - A2187.2 1993: Explosives  storage, transport and use. Australian Standards - A2187.0 1998: Explosives  Glossary of terms, and other State and Territory legislation.</w:t>
            </w:r>
          </w:p>
        </w:tc>
      </w:tr>
    </w:tbl>
    <w:p w:rsidR="009D6610" w:rsidP="00B36C84">
      <w:pPr>
        <w:pStyle w:val="BodyText"/>
      </w:pPr>
    </w:p>
    <w:p w:rsidR="009D6610" w:rsidP="00B36C84">
      <w:pPr>
        <w:pStyle w:val="BodyText"/>
      </w:pPr>
    </w:p>
    <w:p w:rsidR="00000000" w:rsidRPr="00B36C84" w:rsidP="00B36C84">
      <w:pPr>
        <w:pStyle w:val="Heading1"/>
      </w:pPr>
      <w:bookmarkStart w:id="12" w:name="O_187714"/>
      <w:bookmarkEnd w:id="12"/>
      <w:r w:rsidRPr="00B36C84">
        <w:t>Unit Sector(s)</w:t>
      </w:r>
    </w:p>
    <w:tbl>
      <w:tblPr>
        <w:tblW w:w="0" w:type="auto"/>
        <w:tblLayout w:type="fixed"/>
        <w:tblCellMar>
          <w:left w:w="62" w:type="dxa"/>
          <w:right w:w="62" w:type="dxa"/>
        </w:tblCellMar>
        <w:tblLook w:val="0000"/>
      </w:tblPr>
      <w:tblGrid>
        <w:gridCol w:w="2609"/>
        <w:gridCol w:w="5913"/>
      </w:tblGrid>
      <w:tr w:rsidTr="009D661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r w:rsidRPr="00B36C84">
              <w:t>Explosives</w:t>
            </w:r>
          </w:p>
        </w:tc>
      </w:tr>
    </w:tbl>
    <w:p w:rsidR="009D6610" w:rsidP="00B36C84">
      <w:pPr>
        <w:pStyle w:val="BodyText"/>
      </w:pPr>
    </w:p>
    <w:p w:rsidR="009D6610" w:rsidP="00B36C84">
      <w:pPr>
        <w:pStyle w:val="BodyText"/>
      </w:pPr>
    </w:p>
    <w:p w:rsidR="00000000" w:rsidRPr="00B36C84" w:rsidP="00B36C84">
      <w:pPr>
        <w:pStyle w:val="Heading1"/>
      </w:pPr>
      <w:bookmarkStart w:id="13" w:name="O_187711"/>
      <w:bookmarkEnd w:id="13"/>
      <w:r w:rsidRPr="00B36C84">
        <w:t>Co-requisite units</w:t>
      </w:r>
    </w:p>
    <w:tbl>
      <w:tblPr>
        <w:tblW w:w="0" w:type="auto"/>
        <w:tblLayout w:type="fixed"/>
        <w:tblCellMar>
          <w:left w:w="62" w:type="dxa"/>
          <w:right w:w="62" w:type="dxa"/>
        </w:tblCellMar>
        <w:tblLook w:val="0000"/>
      </w:tblPr>
      <w:tblGrid>
        <w:gridCol w:w="2641"/>
        <w:gridCol w:w="1322"/>
        <w:gridCol w:w="4559"/>
      </w:tblGrid>
      <w:tr w:rsidTr="009D66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p>
        </w:tc>
      </w:tr>
      <w:tr w:rsidTr="009D6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p>
        </w:tc>
      </w:tr>
    </w:tbl>
    <w:p w:rsidR="009D6610" w:rsidP="00B36C84">
      <w:pPr>
        <w:pStyle w:val="BodyText"/>
      </w:pPr>
    </w:p>
    <w:p w:rsidR="009D6610" w:rsidP="00B36C84">
      <w:pPr>
        <w:pStyle w:val="BodyText"/>
      </w:pPr>
    </w:p>
    <w:p w:rsidR="00000000" w:rsidRPr="00B36C84" w:rsidP="00B36C84">
      <w:pPr>
        <w:pStyle w:val="Heading1"/>
      </w:pPr>
      <w:bookmarkStart w:id="14" w:name="O_187713"/>
      <w:bookmarkEnd w:id="14"/>
      <w:r w:rsidRPr="00B36C84">
        <w:t>Competency field</w:t>
      </w:r>
    </w:p>
    <w:tbl>
      <w:tblPr>
        <w:tblW w:w="0" w:type="auto"/>
        <w:tblLayout w:type="fixed"/>
        <w:tblCellMar>
          <w:left w:w="62" w:type="dxa"/>
          <w:right w:w="62" w:type="dxa"/>
        </w:tblCellMar>
        <w:tblLook w:val="0000"/>
      </w:tblPr>
      <w:tblGrid>
        <w:gridCol w:w="2784"/>
        <w:gridCol w:w="5738"/>
      </w:tblGrid>
      <w:tr w:rsidTr="009D66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84">
            <w:pPr>
              <w:pStyle w:val="BodyText"/>
              <w:rPr>
                <w:lang w:val="en-NZ"/>
              </w:rPr>
            </w:pPr>
            <w:r w:rsidRPr="00B36C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84" w:rsidP="00B36C84">
            <w:pPr>
              <w:pStyle w:val="BodyText"/>
            </w:pPr>
          </w:p>
        </w:tc>
      </w:tr>
    </w:tbl>
    <w:p w:rsidR="009D6610" w:rsidP="00B36C84">
      <w:pPr>
        <w:pStyle w:val="BodyText"/>
      </w:pPr>
    </w:p>
    <w:p w:rsidR="009D6610" w:rsidP="00B36C84">
      <w:pPr>
        <w:pStyle w:val="BodyText"/>
      </w:pPr>
    </w:p>
    <w:p w:rsidR="00000000" w:rsidRPr="00B36C84" w:rsidP="00B36C84"/>
    <w:sectPr w:rsidSect="00B36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610" w:rsidP="009D6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10" w:rsidP="00B36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6610" w:rsidP="00B36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6610" w:rsidP="00B36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610" w:rsidP="009D6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610" w:rsidP="00B36C84">
    <w:pPr>
      <w:pStyle w:val="Header"/>
      <w:framePr w:wrap="around"/>
    </w:pPr>
    <w:r>
      <w:fldChar w:fldCharType="begin"/>
    </w:r>
    <w:r>
      <w:instrText xml:space="preserve"> TITLE   \* MERGEFORMAT </w:instrText>
    </w:r>
    <w:r>
      <w:fldChar w:fldCharType="separate"/>
    </w:r>
    <w:r>
      <w:t>AHCEXP302A Identify and select explosive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6610" w:rsidP="00B36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6E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6D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CE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C84"/>
    <w:pPr>
      <w:spacing w:before="360" w:after="60"/>
      <w:outlineLvl w:val="0"/>
    </w:pPr>
    <w:rPr>
      <w:sz w:val="32"/>
    </w:rPr>
  </w:style>
  <w:style w:type="paragraph" w:styleId="Heading2">
    <w:name w:val="heading 2"/>
    <w:basedOn w:val="HeadingBase"/>
    <w:next w:val="BodyText"/>
    <w:link w:val="Heading2Char"/>
    <w:qFormat/>
    <w:rsid w:val="00B36C84"/>
    <w:pPr>
      <w:keepLines/>
      <w:spacing w:before="240" w:after="120"/>
      <w:outlineLvl w:val="1"/>
    </w:pPr>
    <w:rPr>
      <w:sz w:val="28"/>
      <w:szCs w:val="40"/>
    </w:rPr>
  </w:style>
  <w:style w:type="paragraph" w:styleId="Heading3">
    <w:name w:val="heading 3"/>
    <w:basedOn w:val="HeadingBase"/>
    <w:next w:val="BodyText"/>
    <w:link w:val="Heading3Char"/>
    <w:qFormat/>
    <w:rsid w:val="00B36C84"/>
    <w:pPr>
      <w:spacing w:before="180" w:after="120"/>
      <w:outlineLvl w:val="2"/>
    </w:pPr>
    <w:rPr>
      <w:spacing w:val="-10"/>
      <w:kern w:val="32"/>
    </w:rPr>
  </w:style>
  <w:style w:type="paragraph" w:styleId="Heading4">
    <w:name w:val="heading 4"/>
    <w:basedOn w:val="HeadingBase"/>
    <w:next w:val="BodyText"/>
    <w:link w:val="Heading4Char"/>
    <w:qFormat/>
    <w:rsid w:val="00B36C84"/>
    <w:pPr>
      <w:spacing w:before="160" w:after="120"/>
      <w:outlineLvl w:val="3"/>
    </w:pPr>
    <w:rPr>
      <w:sz w:val="22"/>
    </w:rPr>
  </w:style>
  <w:style w:type="paragraph" w:styleId="Heading5">
    <w:name w:val="heading 5"/>
    <w:basedOn w:val="HeadingBase"/>
    <w:next w:val="Normal"/>
    <w:link w:val="Heading5Char"/>
    <w:qFormat/>
    <w:rsid w:val="00B36C84"/>
    <w:pPr>
      <w:spacing w:before="80"/>
      <w:outlineLvl w:val="4"/>
    </w:pPr>
    <w:rPr>
      <w:color w:val="918585"/>
      <w:sz w:val="20"/>
    </w:rPr>
  </w:style>
  <w:style w:type="paragraph" w:styleId="Heading6">
    <w:name w:val="heading 6"/>
    <w:basedOn w:val="HeadingBase"/>
    <w:next w:val="Normal"/>
    <w:link w:val="Heading6Char"/>
    <w:qFormat/>
    <w:rsid w:val="00B36C84"/>
    <w:pPr>
      <w:spacing w:before="60"/>
      <w:outlineLvl w:val="5"/>
    </w:pPr>
    <w:rPr>
      <w:color w:val="918585"/>
      <w:sz w:val="20"/>
    </w:rPr>
  </w:style>
  <w:style w:type="paragraph" w:styleId="Heading7">
    <w:name w:val="heading 7"/>
    <w:basedOn w:val="Normal"/>
    <w:next w:val="Normal"/>
    <w:link w:val="Heading7Char"/>
    <w:qFormat/>
    <w:rsid w:val="00B36C84"/>
    <w:pPr>
      <w:ind w:left="720"/>
      <w:outlineLvl w:val="6"/>
    </w:pPr>
    <w:rPr>
      <w:i/>
    </w:rPr>
  </w:style>
  <w:style w:type="paragraph" w:styleId="Heading8">
    <w:name w:val="heading 8"/>
    <w:basedOn w:val="Normal"/>
    <w:next w:val="Normal"/>
    <w:link w:val="Heading8Char"/>
    <w:qFormat/>
    <w:rsid w:val="00B36C84"/>
    <w:pPr>
      <w:ind w:left="720"/>
      <w:outlineLvl w:val="7"/>
    </w:pPr>
    <w:rPr>
      <w:i/>
    </w:rPr>
  </w:style>
  <w:style w:type="paragraph" w:styleId="Heading9">
    <w:name w:val="heading 9"/>
    <w:basedOn w:val="Normal"/>
    <w:next w:val="Normal"/>
    <w:link w:val="Heading9Char"/>
    <w:qFormat/>
    <w:rsid w:val="00B36C84"/>
    <w:pPr>
      <w:ind w:left="720"/>
      <w:outlineLvl w:val="8"/>
    </w:pPr>
    <w:rPr>
      <w:i/>
    </w:rPr>
  </w:style>
  <w:style w:type="character" w:default="1" w:styleId="DefaultParagraphFont">
    <w:name w:val="Default Paragraph Font"/>
    <w:uiPriority w:val="1"/>
    <w:unhideWhenUsed/>
    <w:rsid w:val="00B36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C84"/>
  </w:style>
  <w:style w:type="character" w:customStyle="1" w:styleId="Heading1Char">
    <w:name w:val="Heading 1 Char"/>
    <w:basedOn w:val="DefaultParagraphFont"/>
    <w:link w:val="Heading1"/>
    <w:rsid w:val="00B36C84"/>
    <w:rPr>
      <w:rFonts w:ascii="Times New Roman" w:eastAsia="Times New Roman" w:hAnsi="Times New Roman" w:cs="Times New Roman"/>
      <w:b/>
      <w:sz w:val="32"/>
      <w:szCs w:val="20"/>
      <w:lang w:eastAsia="en-US"/>
    </w:rPr>
  </w:style>
  <w:style w:type="paragraph" w:styleId="BodyText">
    <w:name w:val="Body Text"/>
    <w:basedOn w:val="Normal"/>
    <w:link w:val="BodyTextChar"/>
    <w:rsid w:val="00B36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C84"/>
    <w:rPr>
      <w:rFonts w:ascii="Times New Roman" w:eastAsia="Times New Roman" w:hAnsi="Times New Roman" w:cs="Times New Roman"/>
      <w:sz w:val="24"/>
      <w:lang w:val="en-US" w:eastAsia="en-US"/>
    </w:rPr>
  </w:style>
  <w:style w:type="paragraph" w:styleId="Footer">
    <w:name w:val="footer"/>
    <w:basedOn w:val="Normal"/>
    <w:link w:val="FooterChar"/>
    <w:rsid w:val="00B36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C84"/>
    <w:rPr>
      <w:rFonts w:ascii="Times New Roman" w:eastAsia="Times New Roman" w:hAnsi="Times New Roman" w:cs="Times New Roman"/>
      <w:sz w:val="16"/>
      <w:lang w:val="en-US" w:eastAsia="en-US"/>
    </w:rPr>
  </w:style>
  <w:style w:type="paragraph" w:styleId="List">
    <w:name w:val="List"/>
    <w:basedOn w:val="BodyText"/>
    <w:next w:val="BodyText"/>
    <w:rsid w:val="00B36C84"/>
    <w:pPr>
      <w:tabs>
        <w:tab w:val="left" w:pos="340"/>
      </w:tabs>
      <w:spacing w:before="60" w:after="60"/>
      <w:ind w:left="340" w:hanging="340"/>
    </w:pPr>
  </w:style>
  <w:style w:type="paragraph" w:styleId="ListBullet">
    <w:name w:val="List Bullet"/>
    <w:basedOn w:val="List"/>
    <w:rsid w:val="00B36C84"/>
    <w:pPr>
      <w:numPr>
        <w:numId w:val="13"/>
      </w:numPr>
      <w:tabs>
        <w:tab w:val="clear" w:pos="340"/>
      </w:tabs>
      <w:spacing w:before="40" w:after="40"/>
    </w:pPr>
  </w:style>
  <w:style w:type="character" w:customStyle="1" w:styleId="SpecialBold">
    <w:name w:val="Special Bold"/>
    <w:basedOn w:val="DefaultParagraphFont"/>
    <w:rsid w:val="00B36C84"/>
    <w:rPr>
      <w:b/>
      <w:spacing w:val="0"/>
    </w:rPr>
  </w:style>
  <w:style w:type="paragraph" w:styleId="ListBullet2">
    <w:name w:val="List Bullet 2"/>
    <w:basedOn w:val="List2"/>
    <w:rsid w:val="00B36C84"/>
    <w:pPr>
      <w:numPr>
        <w:numId w:val="14"/>
      </w:numPr>
      <w:tabs>
        <w:tab w:val="clear" w:pos="680"/>
      </w:tabs>
    </w:pPr>
  </w:style>
  <w:style w:type="paragraph" w:styleId="Header">
    <w:name w:val="header"/>
    <w:basedOn w:val="Normal"/>
    <w:link w:val="HeaderChar"/>
    <w:rsid w:val="00B36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C84"/>
    <w:pPr>
      <w:spacing w:before="240" w:after="120"/>
      <w:outlineLvl w:val="0"/>
    </w:pPr>
    <w:rPr>
      <w:rFonts w:ascii="Times New Roman" w:hAnsi="Times New Roman"/>
      <w:b/>
      <w:sz w:val="28"/>
    </w:rPr>
  </w:style>
  <w:style w:type="paragraph" w:customStyle="1" w:styleId="AllowPageBreak">
    <w:name w:val="AllowPageBreak"/>
    <w:rsid w:val="00B36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6C84"/>
    <w:pPr>
      <w:tabs>
        <w:tab w:val="left" w:pos="680"/>
      </w:tabs>
      <w:spacing w:before="60" w:after="60"/>
      <w:ind w:left="680" w:hanging="340"/>
    </w:pPr>
  </w:style>
  <w:style w:type="character" w:customStyle="1" w:styleId="Heading2Char">
    <w:name w:val="Heading 2 Char"/>
    <w:basedOn w:val="DefaultParagraphFont"/>
    <w:link w:val="Heading2"/>
    <w:rsid w:val="00B36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C84"/>
    <w:rPr>
      <w:rFonts w:ascii="Courier New" w:eastAsia="Times New Roman" w:hAnsi="Courier New" w:cs="Times New Roman"/>
      <w:i/>
      <w:szCs w:val="20"/>
      <w:lang w:val="en-US" w:eastAsia="en-US"/>
    </w:rPr>
  </w:style>
  <w:style w:type="paragraph" w:customStyle="1" w:styleId="HeadingBase">
    <w:name w:val="Heading Base"/>
    <w:rsid w:val="00B36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C84"/>
    <w:pPr>
      <w:tabs>
        <w:tab w:val="right" w:leader="dot" w:pos="9072"/>
      </w:tabs>
      <w:ind w:left="567"/>
    </w:pPr>
    <w:rPr>
      <w:szCs w:val="22"/>
    </w:rPr>
  </w:style>
  <w:style w:type="paragraph" w:customStyle="1" w:styleId="TOCBase">
    <w:name w:val="TOC Base"/>
    <w:rsid w:val="00B36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C84"/>
    <w:pPr>
      <w:tabs>
        <w:tab w:val="right" w:leader="dot" w:pos="9072"/>
      </w:tabs>
      <w:spacing w:before="40" w:after="40"/>
      <w:ind w:left="284"/>
    </w:pPr>
    <w:rPr>
      <w:rFonts w:ascii="Times New Roman" w:hAnsi="Times New Roman"/>
    </w:rPr>
  </w:style>
  <w:style w:type="paragraph" w:styleId="TOC1">
    <w:name w:val="toc 1"/>
    <w:basedOn w:val="TOCBase"/>
    <w:next w:val="Normal"/>
    <w:rsid w:val="00B36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C84"/>
    <w:pPr>
      <w:spacing w:before="5040"/>
      <w:jc w:val="center"/>
    </w:pPr>
    <w:rPr>
      <w:sz w:val="48"/>
      <w:szCs w:val="72"/>
      <w:lang w:val="en-US"/>
    </w:rPr>
  </w:style>
  <w:style w:type="character" w:customStyle="1" w:styleId="TitleChar">
    <w:name w:val="Title Char"/>
    <w:basedOn w:val="DefaultParagraphFont"/>
    <w:link w:val="Title"/>
    <w:rsid w:val="00B36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C84"/>
    <w:pPr>
      <w:tabs>
        <w:tab w:val="left" w:pos="3600"/>
        <w:tab w:val="left" w:pos="3958"/>
      </w:tabs>
    </w:pPr>
  </w:style>
  <w:style w:type="paragraph" w:customStyle="1" w:styleId="Note">
    <w:name w:val="Note"/>
    <w:basedOn w:val="BodyText"/>
    <w:rsid w:val="00B36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C84"/>
    <w:pPr>
      <w:framePr w:wrap="auto" w:hAnchor="text" w:y="6049"/>
    </w:pPr>
    <w:rPr>
      <w:color w:val="000000"/>
      <w:sz w:val="40"/>
    </w:rPr>
  </w:style>
  <w:style w:type="paragraph" w:customStyle="1" w:styleId="TOCTitle">
    <w:name w:val="TOCTitle"/>
    <w:basedOn w:val="Heading1"/>
    <w:rsid w:val="00B36C84"/>
    <w:pPr>
      <w:spacing w:after="240"/>
      <w:jc w:val="center"/>
      <w:outlineLvl w:val="9"/>
    </w:pPr>
    <w:rPr>
      <w:caps/>
    </w:rPr>
  </w:style>
  <w:style w:type="paragraph" w:customStyle="1" w:styleId="Version">
    <w:name w:val="Version"/>
    <w:rsid w:val="00B36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C84"/>
    <w:pPr>
      <w:keepNext w:val="0"/>
      <w:tabs>
        <w:tab w:val="right" w:pos="4176"/>
      </w:tabs>
      <w:ind w:left="198" w:hanging="198"/>
    </w:pPr>
    <w:rPr>
      <w:rFonts w:ascii="Garamond" w:hAnsi="Garamond"/>
    </w:rPr>
  </w:style>
  <w:style w:type="paragraph" w:styleId="IndexHeading">
    <w:name w:val="index heading"/>
    <w:basedOn w:val="Normal"/>
    <w:next w:val="Index1"/>
    <w:semiHidden/>
    <w:rsid w:val="00B36C84"/>
    <w:pPr>
      <w:spacing w:before="120" w:after="120"/>
    </w:pPr>
    <w:rPr>
      <w:rFonts w:ascii="Arial" w:hAnsi="Arial"/>
      <w:b/>
      <w:color w:val="918585"/>
      <w:sz w:val="24"/>
    </w:rPr>
  </w:style>
  <w:style w:type="paragraph" w:customStyle="1" w:styleId="Chapter">
    <w:name w:val="Chapter"/>
    <w:basedOn w:val="Normal"/>
    <w:rsid w:val="00B36C84"/>
    <w:pPr>
      <w:spacing w:before="240"/>
    </w:pPr>
    <w:rPr>
      <w:rFonts w:ascii="Times New Roman" w:hAnsi="Times New Roman"/>
      <w:smallCaps/>
      <w:spacing w:val="80"/>
      <w:sz w:val="28"/>
    </w:rPr>
  </w:style>
  <w:style w:type="paragraph" w:customStyle="1" w:styleId="InChapter">
    <w:name w:val="InChapter"/>
    <w:basedOn w:val="Heading3"/>
    <w:rsid w:val="00B36C84"/>
    <w:pPr>
      <w:spacing w:after="240"/>
      <w:outlineLvl w:val="9"/>
    </w:pPr>
    <w:rPr>
      <w:noProof/>
    </w:rPr>
  </w:style>
  <w:style w:type="paragraph" w:styleId="Index2">
    <w:name w:val="index 2"/>
    <w:basedOn w:val="Normal"/>
    <w:next w:val="Normal"/>
    <w:semiHidden/>
    <w:rsid w:val="00B36C84"/>
    <w:pPr>
      <w:tabs>
        <w:tab w:val="right" w:pos="4176"/>
      </w:tabs>
      <w:ind w:left="568" w:hanging="284"/>
    </w:pPr>
    <w:rPr>
      <w:rFonts w:ascii="Garamond" w:hAnsi="Garamond"/>
    </w:rPr>
  </w:style>
  <w:style w:type="paragraph" w:customStyle="1" w:styleId="Byline">
    <w:name w:val="Byline"/>
    <w:rsid w:val="00B36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C84"/>
    <w:pPr>
      <w:tabs>
        <w:tab w:val="clear" w:pos="3600"/>
        <w:tab w:val="clear" w:pos="3958"/>
      </w:tabs>
      <w:jc w:val="right"/>
    </w:pPr>
  </w:style>
  <w:style w:type="character" w:styleId="Emphasis">
    <w:name w:val="Emphasis"/>
    <w:basedOn w:val="DefaultParagraphFont"/>
    <w:qFormat/>
    <w:rsid w:val="00B36C84"/>
    <w:rPr>
      <w:i/>
    </w:rPr>
  </w:style>
  <w:style w:type="paragraph" w:styleId="Caption">
    <w:name w:val="caption"/>
    <w:basedOn w:val="BodyText"/>
    <w:next w:val="Normal"/>
    <w:qFormat/>
    <w:rsid w:val="00B36C84"/>
    <w:pPr>
      <w:framePr w:w="2268" w:hSpace="181" w:vSpace="181" w:wrap="around" w:vAnchor="text" w:hAnchor="page" w:x="1135" w:y="285" w:anchorLock="1"/>
    </w:pPr>
    <w:rPr>
      <w:i/>
    </w:rPr>
  </w:style>
  <w:style w:type="paragraph" w:customStyle="1" w:styleId="MiniTOCTitle">
    <w:name w:val="MiniTOCTitle"/>
    <w:basedOn w:val="Heading4"/>
    <w:rsid w:val="00B36C84"/>
    <w:pPr>
      <w:spacing w:before="240"/>
      <w:outlineLvl w:val="9"/>
    </w:pPr>
    <w:rPr>
      <w:noProof/>
      <w:sz w:val="24"/>
    </w:rPr>
  </w:style>
  <w:style w:type="paragraph" w:customStyle="1" w:styleId="MiniTOCItem">
    <w:name w:val="MiniTOCItem"/>
    <w:basedOn w:val="ListBullet"/>
    <w:rsid w:val="00B36C84"/>
    <w:pPr>
      <w:numPr>
        <w:numId w:val="0"/>
      </w:numPr>
      <w:tabs>
        <w:tab w:val="right" w:leader="dot" w:pos="6521"/>
      </w:tabs>
      <w:spacing w:before="0" w:after="0"/>
    </w:pPr>
  </w:style>
  <w:style w:type="paragraph" w:customStyle="1" w:styleId="TOFTitle">
    <w:name w:val="TOFTitle"/>
    <w:basedOn w:val="TOCTitle"/>
    <w:rsid w:val="00B36C84"/>
  </w:style>
  <w:style w:type="paragraph" w:styleId="TableofFigures">
    <w:name w:val="table of figures"/>
    <w:basedOn w:val="Normal"/>
    <w:next w:val="Normal"/>
    <w:semiHidden/>
    <w:rsid w:val="00B36C84"/>
    <w:pPr>
      <w:tabs>
        <w:tab w:val="right" w:leader="dot" w:pos="9072"/>
      </w:tabs>
      <w:ind w:left="970" w:hanging="403"/>
    </w:pPr>
    <w:rPr>
      <w:rFonts w:ascii="Times New Roman" w:hAnsi="Times New Roman"/>
      <w:b/>
    </w:rPr>
  </w:style>
  <w:style w:type="paragraph" w:styleId="ListNumber">
    <w:name w:val="List Number"/>
    <w:basedOn w:val="List"/>
    <w:rsid w:val="00B36C84"/>
    <w:pPr>
      <w:numPr>
        <w:numId w:val="11"/>
      </w:numPr>
    </w:pPr>
  </w:style>
  <w:style w:type="character" w:customStyle="1" w:styleId="WingdingSymbols">
    <w:name w:val="Wingding Symbols"/>
    <w:rsid w:val="00B36C84"/>
    <w:rPr>
      <w:rFonts w:ascii="Wingdings" w:hAnsi="Wingdings"/>
    </w:rPr>
  </w:style>
  <w:style w:type="paragraph" w:customStyle="1" w:styleId="TableHeading">
    <w:name w:val="Table Heading"/>
    <w:basedOn w:val="HeadingBase"/>
    <w:rsid w:val="00B36C84"/>
    <w:pPr>
      <w:keepLines/>
      <w:pBdr>
        <w:bottom w:val="single" w:sz="6" w:space="1" w:color="918585"/>
      </w:pBdr>
      <w:spacing w:before="240"/>
    </w:pPr>
  </w:style>
  <w:style w:type="character" w:customStyle="1" w:styleId="HotSpot">
    <w:name w:val="HotSpot"/>
    <w:rsid w:val="00B36C84"/>
    <w:rPr>
      <w:color w:val="0033CC"/>
      <w:u w:val="none"/>
    </w:rPr>
  </w:style>
  <w:style w:type="paragraph" w:customStyle="1" w:styleId="BodyTextRight">
    <w:name w:val="Body Text Right"/>
    <w:basedOn w:val="BodyText"/>
    <w:rsid w:val="00B36C84"/>
    <w:pPr>
      <w:spacing w:before="0" w:after="0"/>
      <w:jc w:val="right"/>
    </w:pPr>
  </w:style>
  <w:style w:type="paragraph" w:styleId="Index3">
    <w:name w:val="index 3"/>
    <w:basedOn w:val="ListNumber2"/>
    <w:next w:val="Normal"/>
    <w:semiHidden/>
    <w:rsid w:val="00B36C84"/>
    <w:pPr>
      <w:numPr>
        <w:numId w:val="0"/>
      </w:numPr>
      <w:tabs>
        <w:tab w:val="right" w:leader="dot" w:pos="4176"/>
      </w:tabs>
    </w:pPr>
  </w:style>
  <w:style w:type="paragraph" w:styleId="ListNumber2">
    <w:name w:val="List Number 2"/>
    <w:basedOn w:val="List2"/>
    <w:rsid w:val="00B36C84"/>
    <w:pPr>
      <w:numPr>
        <w:numId w:val="10"/>
      </w:numPr>
      <w:tabs>
        <w:tab w:val="clear" w:pos="1060"/>
      </w:tabs>
    </w:pPr>
  </w:style>
  <w:style w:type="paragraph" w:customStyle="1" w:styleId="MarginNote">
    <w:name w:val="Margin Note"/>
    <w:basedOn w:val="BodyText"/>
    <w:rsid w:val="00B36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C84"/>
    <w:rPr>
      <w:sz w:val="32"/>
    </w:rPr>
  </w:style>
  <w:style w:type="paragraph" w:customStyle="1" w:styleId="HeadingProcedure">
    <w:name w:val="Heading Procedure"/>
    <w:basedOn w:val="HeadingBase"/>
    <w:next w:val="Normal"/>
    <w:rsid w:val="00B36C84"/>
    <w:pPr>
      <w:tabs>
        <w:tab w:val="left" w:pos="0"/>
      </w:tabs>
      <w:spacing w:before="120" w:after="60"/>
    </w:pPr>
    <w:rPr>
      <w:i/>
      <w:color w:val="918585"/>
      <w:sz w:val="22"/>
    </w:rPr>
  </w:style>
  <w:style w:type="paragraph" w:customStyle="1" w:styleId="TableBodyText">
    <w:name w:val="Table Body Text"/>
    <w:basedOn w:val="BodyText"/>
    <w:rsid w:val="00B36C84"/>
    <w:pPr>
      <w:spacing w:before="60" w:after="60"/>
    </w:pPr>
  </w:style>
  <w:style w:type="paragraph" w:styleId="ListContinue">
    <w:name w:val="List Continue"/>
    <w:basedOn w:val="List"/>
    <w:rsid w:val="00B36C84"/>
    <w:pPr>
      <w:ind w:firstLine="0"/>
    </w:pPr>
  </w:style>
  <w:style w:type="paragraph" w:customStyle="1" w:styleId="ListNote">
    <w:name w:val="List Note"/>
    <w:basedOn w:val="List"/>
    <w:rsid w:val="00B36C84"/>
    <w:pPr>
      <w:pBdr>
        <w:top w:val="single" w:sz="6" w:space="2" w:color="918585"/>
        <w:bottom w:val="single" w:sz="6" w:space="2" w:color="918585"/>
      </w:pBdr>
      <w:tabs>
        <w:tab w:val="left" w:pos="1021"/>
      </w:tabs>
      <w:ind w:firstLine="0"/>
    </w:pPr>
  </w:style>
  <w:style w:type="paragraph" w:customStyle="1" w:styleId="Warning">
    <w:name w:val="Warning"/>
    <w:basedOn w:val="BodyText"/>
    <w:rsid w:val="00B36C84"/>
    <w:pPr>
      <w:shd w:val="clear" w:color="auto" w:fill="D9D9D9"/>
      <w:tabs>
        <w:tab w:val="left" w:pos="992"/>
      </w:tabs>
      <w:ind w:left="119" w:right="119"/>
    </w:pPr>
    <w:rPr>
      <w:sz w:val="20"/>
    </w:rPr>
  </w:style>
  <w:style w:type="paragraph" w:customStyle="1" w:styleId="MarginIcons">
    <w:name w:val="Margin Icons"/>
    <w:basedOn w:val="BodyText"/>
    <w:rsid w:val="00B36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C84"/>
    <w:rPr>
      <w:rFonts w:ascii="Courier New" w:hAnsi="Courier New"/>
    </w:rPr>
  </w:style>
  <w:style w:type="paragraph" w:customStyle="1" w:styleId="NoteBullet">
    <w:name w:val="Note Bullet"/>
    <w:basedOn w:val="Note"/>
    <w:rsid w:val="00B36C84"/>
    <w:pPr>
      <w:tabs>
        <w:tab w:val="clear" w:pos="680"/>
      </w:tabs>
      <w:spacing w:before="60" w:after="60"/>
    </w:pPr>
  </w:style>
  <w:style w:type="paragraph" w:customStyle="1" w:styleId="SubHeading2">
    <w:name w:val="SubHeading2"/>
    <w:basedOn w:val="HeadingBase"/>
    <w:rsid w:val="00B36C84"/>
    <w:pPr>
      <w:spacing w:before="240" w:after="60"/>
    </w:pPr>
    <w:rPr>
      <w:sz w:val="20"/>
    </w:rPr>
  </w:style>
  <w:style w:type="paragraph" w:customStyle="1" w:styleId="SubHeading1">
    <w:name w:val="SubHeading1"/>
    <w:basedOn w:val="HeadingBase"/>
    <w:rsid w:val="00B36C84"/>
    <w:pPr>
      <w:spacing w:before="240" w:after="60"/>
    </w:pPr>
    <w:rPr>
      <w:color w:val="918585"/>
      <w:sz w:val="22"/>
    </w:rPr>
  </w:style>
  <w:style w:type="paragraph" w:customStyle="1" w:styleId="SideHeading">
    <w:name w:val="Side Heading"/>
    <w:basedOn w:val="HeadingBase"/>
    <w:rsid w:val="00B36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C84"/>
    <w:pPr>
      <w:numPr>
        <w:numId w:val="12"/>
      </w:numPr>
    </w:pPr>
  </w:style>
  <w:style w:type="paragraph" w:styleId="PlainText">
    <w:name w:val="Plain Text"/>
    <w:basedOn w:val="Normal"/>
    <w:link w:val="PlainTextChar"/>
    <w:rsid w:val="00B36C84"/>
    <w:rPr>
      <w:sz w:val="20"/>
    </w:rPr>
  </w:style>
  <w:style w:type="character" w:customStyle="1" w:styleId="PlainTextChar">
    <w:name w:val="Plain Text Char"/>
    <w:basedOn w:val="DefaultParagraphFont"/>
    <w:link w:val="PlainText"/>
    <w:rsid w:val="00B36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C84"/>
    <w:rPr>
      <w:b/>
      <w:smallCaps/>
    </w:rPr>
  </w:style>
  <w:style w:type="paragraph" w:customStyle="1" w:styleId="TableListNumber">
    <w:name w:val="Table List Number"/>
    <w:basedOn w:val="ListNumber"/>
    <w:rsid w:val="00B36C84"/>
    <w:pPr>
      <w:numPr>
        <w:numId w:val="0"/>
      </w:numPr>
    </w:pPr>
  </w:style>
  <w:style w:type="paragraph" w:styleId="TOC4">
    <w:name w:val="toc 4"/>
    <w:basedOn w:val="TOCBase"/>
    <w:next w:val="Normal"/>
    <w:semiHidden/>
    <w:rsid w:val="00B36C84"/>
    <w:pPr>
      <w:tabs>
        <w:tab w:val="right" w:leader="dot" w:pos="9071"/>
      </w:tabs>
      <w:ind w:left="1701"/>
    </w:pPr>
  </w:style>
  <w:style w:type="paragraph" w:customStyle="1" w:styleId="ListAlpha">
    <w:name w:val="List Alpha"/>
    <w:basedOn w:val="List"/>
    <w:rsid w:val="00B36C84"/>
    <w:pPr>
      <w:numPr>
        <w:numId w:val="9"/>
      </w:numPr>
    </w:pPr>
  </w:style>
  <w:style w:type="paragraph" w:customStyle="1" w:styleId="ListAlpha2">
    <w:name w:val="List Alpha 2"/>
    <w:basedOn w:val="List2"/>
    <w:rsid w:val="00B36C84"/>
    <w:pPr>
      <w:numPr>
        <w:numId w:val="8"/>
      </w:numPr>
    </w:pPr>
  </w:style>
  <w:style w:type="paragraph" w:styleId="List3">
    <w:name w:val="List 3"/>
    <w:basedOn w:val="BodyText"/>
    <w:rsid w:val="00B36C84"/>
    <w:pPr>
      <w:tabs>
        <w:tab w:val="left" w:pos="1021"/>
      </w:tabs>
      <w:spacing w:before="60" w:after="60"/>
      <w:ind w:left="1020" w:hanging="340"/>
    </w:pPr>
  </w:style>
  <w:style w:type="paragraph" w:styleId="List4">
    <w:name w:val="List 4"/>
    <w:basedOn w:val="BodyText"/>
    <w:rsid w:val="00B36C84"/>
    <w:pPr>
      <w:tabs>
        <w:tab w:val="left" w:pos="1361"/>
      </w:tabs>
      <w:spacing w:before="60" w:after="60"/>
      <w:ind w:left="1361" w:hanging="340"/>
    </w:pPr>
  </w:style>
  <w:style w:type="paragraph" w:styleId="List5">
    <w:name w:val="List 5"/>
    <w:basedOn w:val="BodyText"/>
    <w:rsid w:val="00B36C84"/>
    <w:pPr>
      <w:tabs>
        <w:tab w:val="left" w:pos="1701"/>
      </w:tabs>
      <w:spacing w:before="60" w:after="60"/>
      <w:ind w:left="1701" w:hanging="340"/>
    </w:pPr>
  </w:style>
  <w:style w:type="paragraph" w:styleId="ListBullet3">
    <w:name w:val="List Bullet 3"/>
    <w:basedOn w:val="List3"/>
    <w:rsid w:val="00B36C84"/>
    <w:pPr>
      <w:numPr>
        <w:numId w:val="15"/>
      </w:numPr>
      <w:tabs>
        <w:tab w:val="clear" w:pos="1021"/>
      </w:tabs>
      <w:ind w:left="1037" w:hanging="357"/>
    </w:pPr>
  </w:style>
  <w:style w:type="paragraph" w:styleId="ListBullet4">
    <w:name w:val="List Bullet 4"/>
    <w:basedOn w:val="List4"/>
    <w:rsid w:val="00B36C84"/>
    <w:pPr>
      <w:numPr>
        <w:numId w:val="3"/>
      </w:numPr>
    </w:pPr>
  </w:style>
  <w:style w:type="paragraph" w:styleId="ListBullet5">
    <w:name w:val="List Bullet 5"/>
    <w:basedOn w:val="List5"/>
    <w:rsid w:val="00B36C84"/>
    <w:pPr>
      <w:numPr>
        <w:numId w:val="4"/>
      </w:numPr>
    </w:pPr>
  </w:style>
  <w:style w:type="paragraph" w:styleId="ListContinue2">
    <w:name w:val="List Continue 2"/>
    <w:basedOn w:val="List2"/>
    <w:rsid w:val="00B36C84"/>
    <w:pPr>
      <w:ind w:firstLine="0"/>
    </w:pPr>
  </w:style>
  <w:style w:type="paragraph" w:styleId="ListContinue3">
    <w:name w:val="List Continue 3"/>
    <w:basedOn w:val="List3"/>
    <w:rsid w:val="00B36C84"/>
    <w:pPr>
      <w:ind w:left="1021" w:firstLine="0"/>
    </w:pPr>
  </w:style>
  <w:style w:type="paragraph" w:styleId="ListContinue4">
    <w:name w:val="List Continue 4"/>
    <w:basedOn w:val="List4"/>
    <w:rsid w:val="00B36C84"/>
    <w:pPr>
      <w:ind w:firstLine="0"/>
    </w:pPr>
  </w:style>
  <w:style w:type="paragraph" w:styleId="ListContinue5">
    <w:name w:val="List Continue 5"/>
    <w:basedOn w:val="List5"/>
    <w:rsid w:val="00B36C84"/>
    <w:pPr>
      <w:ind w:firstLine="0"/>
    </w:pPr>
  </w:style>
  <w:style w:type="paragraph" w:styleId="ListNumber3">
    <w:name w:val="List Number 3"/>
    <w:basedOn w:val="List3"/>
    <w:rsid w:val="00B36C84"/>
    <w:pPr>
      <w:numPr>
        <w:numId w:val="5"/>
      </w:numPr>
    </w:pPr>
  </w:style>
  <w:style w:type="paragraph" w:styleId="ListNumber4">
    <w:name w:val="List Number 4"/>
    <w:basedOn w:val="List4"/>
    <w:rsid w:val="00B36C84"/>
    <w:pPr>
      <w:numPr>
        <w:numId w:val="6"/>
      </w:numPr>
    </w:pPr>
  </w:style>
  <w:style w:type="paragraph" w:styleId="ListNumber5">
    <w:name w:val="List Number 5"/>
    <w:basedOn w:val="List5"/>
    <w:rsid w:val="00B36C84"/>
    <w:pPr>
      <w:numPr>
        <w:numId w:val="7"/>
      </w:numPr>
    </w:pPr>
  </w:style>
  <w:style w:type="paragraph" w:styleId="BlockText">
    <w:name w:val="Block Text"/>
    <w:basedOn w:val="Normal"/>
    <w:rsid w:val="00B36C84"/>
    <w:pPr>
      <w:spacing w:after="120"/>
      <w:ind w:left="1440" w:right="1440"/>
    </w:pPr>
  </w:style>
  <w:style w:type="character" w:customStyle="1" w:styleId="Subscript">
    <w:name w:val="Subscript"/>
    <w:basedOn w:val="DefaultParagraphFont"/>
    <w:rsid w:val="00B36C84"/>
    <w:rPr>
      <w:sz w:val="16"/>
      <w:vertAlign w:val="subscript"/>
    </w:rPr>
  </w:style>
  <w:style w:type="character" w:customStyle="1" w:styleId="Superscript">
    <w:name w:val="Superscript"/>
    <w:basedOn w:val="DefaultParagraphFont"/>
    <w:rsid w:val="00B36C84"/>
    <w:rPr>
      <w:sz w:val="16"/>
      <w:vertAlign w:val="superscript"/>
    </w:rPr>
  </w:style>
  <w:style w:type="character" w:customStyle="1" w:styleId="Symbols">
    <w:name w:val="Symbols"/>
    <w:basedOn w:val="DefaultParagraphFont"/>
    <w:rsid w:val="00B36C84"/>
    <w:rPr>
      <w:rFonts w:ascii="Symbol" w:hAnsi="Symbol"/>
    </w:rPr>
  </w:style>
  <w:style w:type="character" w:customStyle="1" w:styleId="MenuOptions">
    <w:name w:val="Menu Options"/>
    <w:basedOn w:val="DefaultParagraphFont"/>
    <w:rsid w:val="00B36C84"/>
    <w:rPr>
      <w:rFonts w:ascii="Arial Narrow" w:hAnsi="Arial Narrow"/>
      <w:smallCaps/>
    </w:rPr>
  </w:style>
  <w:style w:type="character" w:customStyle="1" w:styleId="Buttons">
    <w:name w:val="Buttons"/>
    <w:basedOn w:val="DefaultParagraphFont"/>
    <w:rsid w:val="00B36C84"/>
    <w:rPr>
      <w:b/>
    </w:rPr>
  </w:style>
  <w:style w:type="character" w:customStyle="1" w:styleId="Underlined">
    <w:name w:val="Underlined"/>
    <w:basedOn w:val="DefaultParagraphFont"/>
    <w:rsid w:val="00B36C84"/>
    <w:rPr>
      <w:u w:val="single"/>
    </w:rPr>
  </w:style>
  <w:style w:type="paragraph" w:customStyle="1" w:styleId="TableBodyTextRight">
    <w:name w:val="Table Body Text Right"/>
    <w:basedOn w:val="TableBodyText"/>
    <w:rsid w:val="00B36C84"/>
    <w:pPr>
      <w:widowControl w:val="0"/>
      <w:autoSpaceDE w:val="0"/>
      <w:autoSpaceDN w:val="0"/>
      <w:adjustRightInd w:val="0"/>
      <w:jc w:val="right"/>
    </w:pPr>
    <w:rPr>
      <w:rFonts w:cs="Arial"/>
      <w:szCs w:val="18"/>
    </w:rPr>
  </w:style>
  <w:style w:type="paragraph" w:customStyle="1" w:styleId="CopyrightText">
    <w:name w:val="Copyright Text"/>
    <w:basedOn w:val="BodyText"/>
    <w:rsid w:val="00B36C84"/>
    <w:rPr>
      <w:sz w:val="18"/>
    </w:rPr>
  </w:style>
  <w:style w:type="paragraph" w:customStyle="1" w:styleId="BodySmallRight">
    <w:name w:val="Body Small Right"/>
    <w:basedOn w:val="BodyTextRight"/>
    <w:rsid w:val="00B36C84"/>
    <w:rPr>
      <w:sz w:val="18"/>
      <w:szCs w:val="18"/>
    </w:rPr>
  </w:style>
  <w:style w:type="paragraph" w:customStyle="1" w:styleId="MarginEdition">
    <w:name w:val="Margin Edition"/>
    <w:basedOn w:val="MarginNote"/>
    <w:rsid w:val="00B36C84"/>
    <w:pPr>
      <w:spacing w:before="0" w:after="0"/>
    </w:pPr>
    <w:rPr>
      <w:rFonts w:ascii="Times New Roman" w:hAnsi="Times New Roman"/>
      <w:color w:val="999999"/>
    </w:rPr>
  </w:style>
  <w:style w:type="paragraph" w:customStyle="1" w:styleId="Spacer">
    <w:name w:val="Spacer"/>
    <w:basedOn w:val="Normal"/>
    <w:rsid w:val="00B36C84"/>
    <w:rPr>
      <w:sz w:val="2"/>
      <w:szCs w:val="2"/>
    </w:rPr>
  </w:style>
  <w:style w:type="character" w:customStyle="1" w:styleId="Small">
    <w:name w:val="Small"/>
    <w:basedOn w:val="DefaultParagraphFont"/>
    <w:rsid w:val="00B36C84"/>
    <w:rPr>
      <w:sz w:val="16"/>
    </w:rPr>
  </w:style>
  <w:style w:type="paragraph" w:customStyle="1" w:styleId="WideTable">
    <w:name w:val="Wide Table"/>
    <w:basedOn w:val="Normal"/>
    <w:rsid w:val="00B36C84"/>
    <w:pPr>
      <w:ind w:left="-1418"/>
    </w:pPr>
    <w:rPr>
      <w:sz w:val="2"/>
      <w:szCs w:val="2"/>
    </w:rPr>
  </w:style>
  <w:style w:type="character" w:styleId="PageNumber">
    <w:name w:val="page number"/>
    <w:basedOn w:val="DefaultParagraphFont"/>
    <w:rsid w:val="00B36C84"/>
  </w:style>
  <w:style w:type="paragraph" w:styleId="Quote">
    <w:name w:val="Quote"/>
    <w:basedOn w:val="Heading1"/>
    <w:link w:val="QuoteChar"/>
    <w:qFormat/>
    <w:rsid w:val="00B36C84"/>
    <w:rPr>
      <w:b w:val="0"/>
      <w:sz w:val="72"/>
      <w:szCs w:val="72"/>
      <w:lang w:val="en-NZ"/>
    </w:rPr>
  </w:style>
  <w:style w:type="character" w:customStyle="1" w:styleId="QuoteChar">
    <w:name w:val="Quote Char"/>
    <w:basedOn w:val="DefaultParagraphFont"/>
    <w:link w:val="Quote"/>
    <w:rsid w:val="00B36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C84"/>
    <w:pPr>
      <w:pageBreakBefore/>
    </w:pPr>
  </w:style>
  <w:style w:type="paragraph" w:customStyle="1" w:styleId="Border">
    <w:name w:val="Border"/>
    <w:basedOn w:val="Normal"/>
    <w:qFormat/>
    <w:rsid w:val="00B36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C84"/>
    <w:rPr>
      <w:b/>
      <w:bCs/>
      <w:i/>
      <w:iCs/>
      <w:color w:val="auto"/>
    </w:rPr>
  </w:style>
  <w:style w:type="paragraph" w:styleId="IntenseQuote">
    <w:name w:val="Intense Quote"/>
    <w:basedOn w:val="Normal"/>
    <w:next w:val="Normal"/>
    <w:link w:val="IntenseQuoteChar"/>
    <w:uiPriority w:val="30"/>
    <w:qFormat/>
    <w:rsid w:val="00B36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C84"/>
    <w:rPr>
      <w:smallCaps/>
      <w:color w:val="auto"/>
      <w:u w:val="single"/>
    </w:rPr>
  </w:style>
  <w:style w:type="character" w:styleId="IntenseReference">
    <w:name w:val="Intense Reference"/>
    <w:basedOn w:val="DefaultParagraphFont"/>
    <w:uiPriority w:val="32"/>
    <w:qFormat/>
    <w:rsid w:val="00B36C84"/>
    <w:rPr>
      <w:b/>
      <w:bCs/>
      <w:smallCaps/>
      <w:color w:val="auto"/>
      <w:spacing w:val="5"/>
      <w:u w:val="single"/>
    </w:rPr>
  </w:style>
  <w:style w:type="paragraph" w:customStyle="1" w:styleId="2ColumnHeading">
    <w:name w:val="2Column Heading"/>
    <w:basedOn w:val="BodyText"/>
    <w:qFormat/>
    <w:rsid w:val="00B36C84"/>
    <w:pPr>
      <w:spacing w:after="60"/>
      <w:ind w:left="-2268"/>
    </w:pPr>
    <w:rPr>
      <w:b/>
    </w:rPr>
  </w:style>
  <w:style w:type="paragraph" w:customStyle="1" w:styleId="Heading1TOC">
    <w:name w:val="Heading1 TOC"/>
    <w:basedOn w:val="Normal"/>
    <w:qFormat/>
    <w:rsid w:val="00B36C84"/>
    <w:pPr>
      <w:spacing w:before="240" w:after="120"/>
    </w:pPr>
    <w:rPr>
      <w:rFonts w:ascii="Times New Roman" w:hAnsi="Times New Roman"/>
      <w:b/>
      <w:sz w:val="32"/>
    </w:rPr>
  </w:style>
  <w:style w:type="paragraph" w:customStyle="1" w:styleId="Heading2TOC">
    <w:name w:val="Heading2 TOC"/>
    <w:basedOn w:val="Normal"/>
    <w:qFormat/>
    <w:rsid w:val="00B36C84"/>
    <w:pPr>
      <w:spacing w:before="240" w:after="60"/>
    </w:pPr>
    <w:rPr>
      <w:rFonts w:ascii="Times New Roman" w:hAnsi="Times New Roman"/>
      <w:b/>
      <w:sz w:val="28"/>
    </w:rPr>
  </w:style>
  <w:style w:type="character" w:customStyle="1" w:styleId="Underline">
    <w:name w:val="Underline"/>
    <w:basedOn w:val="DefaultParagraphFont"/>
    <w:qFormat/>
    <w:rsid w:val="00B36C84"/>
    <w:rPr>
      <w:u w:val="single"/>
    </w:rPr>
  </w:style>
  <w:style w:type="character" w:customStyle="1" w:styleId="BoldandItalics">
    <w:name w:val="Bold and Italics"/>
    <w:qFormat/>
    <w:rsid w:val="00B36C84"/>
    <w:rPr>
      <w:b/>
      <w:i/>
      <w:u w:val="none"/>
    </w:rPr>
  </w:style>
  <w:style w:type="paragraph" w:styleId="BalloonText">
    <w:name w:val="Balloon Text"/>
    <w:basedOn w:val="Normal"/>
    <w:link w:val="BalloonTextChar"/>
    <w:rsid w:val="00B36C84"/>
    <w:rPr>
      <w:rFonts w:ascii="Tahoma" w:hAnsi="Tahoma" w:cs="Tahoma"/>
      <w:sz w:val="16"/>
      <w:szCs w:val="16"/>
    </w:rPr>
  </w:style>
  <w:style w:type="character" w:customStyle="1" w:styleId="BalloonTextChar">
    <w:name w:val="Balloon Text Char"/>
    <w:basedOn w:val="DefaultParagraphFont"/>
    <w:link w:val="BalloonText"/>
    <w:rsid w:val="00B36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884</Words>
  <Characters>5476</Characters>
  <Application>Microsoft Office Word</Application>
  <DocSecurity>0</DocSecurity>
  <Lines>202</Lines>
  <Paragraphs>93</Paragraphs>
  <ScaleCrop>false</ScaleCrop>
  <Company>Author-it Software Corporation Ltd.</Company>
  <LinksUpToDate>false</LinksUpToDate>
  <CharactersWithSpaces>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AHCEXP302A Identify and select explosive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