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AAA" w:rsidP="002C4AAA">
      <w:pPr>
        <w:pStyle w:val="Title"/>
      </w:pPr>
      <w:r>
        <w:fldChar w:fldCharType="begin"/>
      </w:r>
      <w:r>
        <w:instrText xml:space="preserve"> TITLE   \* MERGEFORMAT </w:instrText>
      </w:r>
      <w:r>
        <w:fldChar w:fldCharType="separate"/>
      </w:r>
      <w:r>
        <w:t>AHCEXP301A Handle and store explosives</w:t>
      </w:r>
      <w:r>
        <w:fldChar w:fldCharType="end"/>
      </w:r>
    </w:p>
    <w:p w:rsidR="002C4AAA" w:rsidP="002C4AAA">
      <w:pPr>
        <w:pStyle w:val="Version"/>
        <w:sectPr w:rsidSect="00015B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B46" w:rsidP="00015B46">
      <w:pPr>
        <w:pStyle w:val="SuperHeading"/>
      </w:pPr>
      <w:r w:rsidRPr="00015B46">
        <w:t>AHCEXP301A Handle and store explosives</w:t>
      </w:r>
    </w:p>
    <w:p w:rsidR="00000000" w:rsidRPr="00015B46" w:rsidP="00015B46">
      <w:pPr>
        <w:pStyle w:val="Heading1"/>
      </w:pPr>
      <w:bookmarkStart w:id="1" w:name="O_267794"/>
      <w:bookmarkEnd w:id="1"/>
      <w:r w:rsidRPr="00015B46">
        <w:t>Modification History</w:t>
      </w:r>
    </w:p>
    <w:p w:rsidR="00000000" w:rsidRPr="00015B46" w:rsidP="00015B46">
      <w:pPr>
        <w:pStyle w:val="BodyText"/>
      </w:pPr>
      <w:r w:rsidRPr="00015B46">
        <w:t>Not Applicable</w:t>
      </w:r>
    </w:p>
    <w:p w:rsidR="00000000" w:rsidRPr="00015B46" w:rsidP="00015B46">
      <w:pPr>
        <w:pStyle w:val="AllowPageBreak"/>
      </w:pPr>
    </w:p>
    <w:p w:rsidR="00000000" w:rsidRPr="00015B46" w:rsidP="00015B46">
      <w:pPr>
        <w:pStyle w:val="Heading1"/>
      </w:pPr>
      <w:bookmarkStart w:id="2" w:name="O_187701"/>
      <w:bookmarkEnd w:id="2"/>
      <w:r w:rsidRPr="00015B46">
        <w:t>Unit Descriptor</w:t>
      </w:r>
    </w:p>
    <w:tbl>
      <w:tblPr>
        <w:tblW w:w="0" w:type="auto"/>
        <w:tblLayout w:type="fixed"/>
        <w:tblCellMar>
          <w:left w:w="62" w:type="dxa"/>
          <w:right w:w="62" w:type="dxa"/>
        </w:tblCellMar>
        <w:tblLook w:val="0000"/>
      </w:tblPr>
      <w:tblGrid>
        <w:gridCol w:w="2668"/>
        <w:gridCol w:w="5854"/>
      </w:tblGrid>
      <w:tr w:rsidTr="002C4AAA">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BodyText"/>
            </w:pPr>
            <w:r w:rsidRPr="00015B46">
              <w:t>This unit covers the process of safe handling, storage, loading and transporting of explosives in line with esta</w:t>
            </w:r>
            <w:r w:rsidRPr="00015B46">
              <w:t>blished industry and defines required to:  establish monitoring and recor to legislative requirements;  display placarding on vehicle transporting explosives;  implement security procedures for all explosives on hand;  develop procedures for dealing with a</w:t>
            </w:r>
            <w:r w:rsidRPr="00015B46">
              <w:t>n emergency with transported or stored explosives.</w:t>
            </w:r>
          </w:p>
        </w:tc>
      </w:tr>
    </w:tbl>
    <w:p w:rsidR="002C4AAA" w:rsidP="00015B46">
      <w:pPr>
        <w:pStyle w:val="BodyText"/>
      </w:pPr>
    </w:p>
    <w:p w:rsidR="002C4AAA" w:rsidP="00015B46">
      <w:pPr>
        <w:pStyle w:val="BodyText"/>
      </w:pPr>
    </w:p>
    <w:p w:rsidR="00000000" w:rsidRPr="00015B46" w:rsidP="00015B46">
      <w:pPr>
        <w:pStyle w:val="Heading1"/>
      </w:pPr>
      <w:bookmarkStart w:id="3" w:name="O_187705"/>
      <w:bookmarkEnd w:id="3"/>
      <w:r w:rsidRPr="00015B46">
        <w:t>Application of the Unit</w:t>
      </w:r>
    </w:p>
    <w:tbl>
      <w:tblPr>
        <w:tblW w:w="0" w:type="auto"/>
        <w:tblLayout w:type="fixed"/>
        <w:tblCellMar>
          <w:left w:w="62" w:type="dxa"/>
          <w:right w:w="62" w:type="dxa"/>
        </w:tblCellMar>
        <w:tblLook w:val="0000"/>
      </w:tblPr>
      <w:tblGrid>
        <w:gridCol w:w="2754"/>
        <w:gridCol w:w="5768"/>
      </w:tblGrid>
      <w:tr w:rsidTr="002C4AA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BodyText"/>
            </w:pPr>
            <w:r w:rsidRPr="00015B46">
              <w:t>This unit requires the ability  to work effectively within own area of responsibility.</w:t>
            </w:r>
          </w:p>
        </w:tc>
      </w:tr>
    </w:tbl>
    <w:p w:rsidR="002C4AAA" w:rsidP="00015B46">
      <w:pPr>
        <w:pStyle w:val="BodyText"/>
      </w:pPr>
    </w:p>
    <w:p w:rsidR="002C4AAA" w:rsidP="00015B46">
      <w:pPr>
        <w:pStyle w:val="BodyText"/>
      </w:pPr>
    </w:p>
    <w:p w:rsidR="00000000" w:rsidRPr="00015B46" w:rsidP="00015B46">
      <w:pPr>
        <w:pStyle w:val="Heading1"/>
      </w:pPr>
      <w:bookmarkStart w:id="4" w:name="O_276054"/>
      <w:bookmarkEnd w:id="4"/>
      <w:r w:rsidRPr="00015B46">
        <w:t>Licensing/Regulatory Information</w:t>
      </w:r>
    </w:p>
    <w:p w:rsidR="00000000" w:rsidRPr="00015B46" w:rsidP="00015B46">
      <w:pPr>
        <w:pStyle w:val="BodyText"/>
      </w:pPr>
      <w:r w:rsidRPr="00015B46">
        <w:t>Not Applicable</w:t>
      </w:r>
    </w:p>
    <w:p w:rsidR="00000000" w:rsidRPr="00015B46" w:rsidP="00015B46">
      <w:pPr>
        <w:pStyle w:val="AllowPageBreak"/>
      </w:pPr>
    </w:p>
    <w:p w:rsidR="00000000" w:rsidRPr="00015B46" w:rsidP="00015B46">
      <w:pPr>
        <w:pStyle w:val="Heading1"/>
      </w:pPr>
      <w:bookmarkStart w:id="5" w:name="O_187703"/>
      <w:bookmarkEnd w:id="5"/>
      <w:r w:rsidRPr="00015B46">
        <w:t>Pre-Requisites</w:t>
      </w:r>
    </w:p>
    <w:tbl>
      <w:tblPr>
        <w:tblW w:w="0" w:type="auto"/>
        <w:tblLayout w:type="fixed"/>
        <w:tblCellMar>
          <w:left w:w="62" w:type="dxa"/>
          <w:right w:w="62" w:type="dxa"/>
        </w:tblCellMar>
        <w:tblLook w:val="0000"/>
      </w:tblPr>
      <w:tblGrid>
        <w:gridCol w:w="2775"/>
        <w:gridCol w:w="1295"/>
        <w:gridCol w:w="4452"/>
      </w:tblGrid>
      <w:tr w:rsidTr="002C4A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p>
        </w:tc>
      </w:tr>
      <w:tr w:rsidTr="002C4A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p>
        </w:tc>
      </w:tr>
      <w:tr w:rsidTr="002C4A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BodyText"/>
            </w:pPr>
          </w:p>
        </w:tc>
      </w:tr>
    </w:tbl>
    <w:p w:rsidR="002C4AAA" w:rsidP="00015B46">
      <w:pPr>
        <w:pStyle w:val="BodyText"/>
      </w:pPr>
    </w:p>
    <w:p w:rsidR="002C4AAA" w:rsidP="00015B46">
      <w:pPr>
        <w:pStyle w:val="BodyText"/>
      </w:pPr>
    </w:p>
    <w:p w:rsidR="00000000" w:rsidRPr="00015B46" w:rsidP="00015B46">
      <w:pPr>
        <w:pStyle w:val="Heading1"/>
      </w:pPr>
      <w:bookmarkStart w:id="6" w:name="O_187702"/>
      <w:bookmarkEnd w:id="6"/>
      <w:r w:rsidRPr="00015B46">
        <w:t>Employability Skills Information</w:t>
      </w:r>
    </w:p>
    <w:tbl>
      <w:tblPr>
        <w:tblW w:w="0" w:type="auto"/>
        <w:tblLayout w:type="fixed"/>
        <w:tblCellMar>
          <w:left w:w="62" w:type="dxa"/>
          <w:right w:w="62" w:type="dxa"/>
        </w:tblCellMar>
        <w:tblLook w:val="0000"/>
      </w:tblPr>
      <w:tblGrid>
        <w:gridCol w:w="2802"/>
        <w:gridCol w:w="5720"/>
      </w:tblGrid>
      <w:tr w:rsidTr="002C4A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BodyText"/>
            </w:pPr>
            <w:r w:rsidRPr="00015B46">
              <w:t>This unit contains employability skills.</w:t>
            </w:r>
          </w:p>
        </w:tc>
      </w:tr>
    </w:tbl>
    <w:p w:rsidR="002C4AAA" w:rsidP="00015B46">
      <w:pPr>
        <w:pStyle w:val="BodyText"/>
      </w:pPr>
    </w:p>
    <w:p w:rsidR="002C4AAA" w:rsidP="00015B46">
      <w:pPr>
        <w:pStyle w:val="BodyText"/>
      </w:pPr>
    </w:p>
    <w:p w:rsidR="00000000" w:rsidRPr="00015B46" w:rsidP="00015B46">
      <w:pPr>
        <w:pStyle w:val="Heading1"/>
      </w:pPr>
      <w:bookmarkStart w:id="7" w:name="O_285840"/>
      <w:bookmarkEnd w:id="7"/>
      <w:r w:rsidRPr="00015B46">
        <w:t>Elements and Performance Criteria Pre-Content</w:t>
      </w:r>
    </w:p>
    <w:p w:rsidR="00000000" w:rsidRPr="00015B46" w:rsidP="00015B46">
      <w:pPr>
        <w:pStyle w:val="BodyText"/>
      </w:pPr>
      <w:r w:rsidRPr="00015B46">
        <w:t>Not Applicable</w:t>
      </w:r>
    </w:p>
    <w:p w:rsidR="00000000" w:rsidRPr="00015B46" w:rsidP="00015B46">
      <w:pPr>
        <w:pStyle w:val="AllowPageBreak"/>
      </w:pPr>
    </w:p>
    <w:p w:rsidR="00000000" w:rsidRPr="00015B46" w:rsidP="00015B46">
      <w:pPr>
        <w:pStyle w:val="Heading1"/>
      </w:pPr>
      <w:bookmarkStart w:id="8" w:name="O_232507"/>
      <w:bookmarkEnd w:id="8"/>
      <w:r w:rsidRPr="00015B46">
        <w:t>Elements and Performance Criteria</w:t>
      </w:r>
    </w:p>
    <w:tbl>
      <w:tblPr>
        <w:tblW w:w="0" w:type="auto"/>
        <w:tblLayout w:type="fixed"/>
        <w:tblCellMar>
          <w:left w:w="62" w:type="dxa"/>
          <w:right w:w="62" w:type="dxa"/>
        </w:tblCellMar>
        <w:tblLook w:val="0000"/>
      </w:tblPr>
      <w:tblGrid>
        <w:gridCol w:w="2553"/>
        <w:gridCol w:w="5969"/>
      </w:tblGrid>
      <w:tr w:rsidTr="002C4AAA">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BodyText"/>
            </w:pPr>
            <w:r w:rsidRPr="00015B46">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PERFORMANCE CRITERIA</w:t>
            </w:r>
          </w:p>
        </w:tc>
      </w:tr>
      <w:tr w:rsidTr="002C4AA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p>
        </w:tc>
      </w:tr>
      <w:tr w:rsidTr="002C4AA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List"/>
              <w:rPr>
                <w:lang w:val="en-NZ"/>
              </w:rPr>
            </w:pPr>
            <w:r w:rsidRPr="00015B46">
              <w:t>1.</w:t>
            </w:r>
            <w:r w:rsidRPr="00015B46">
              <w:tab/>
              <w:t>Prepare for the handling of explosives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List2"/>
            </w:pPr>
            <w:r w:rsidRPr="00015B46">
              <w:t>1.1.</w:t>
            </w:r>
            <w:r w:rsidRPr="00015B46">
              <w:tab/>
            </w:r>
            <w:r w:rsidRPr="00015B46">
              <w:t>Legislative requirements for the handling, storage and transport of explosives are identified and actioned in line with specified quantities of explosives.</w:t>
            </w:r>
          </w:p>
          <w:p w:rsidR="00000000" w:rsidRPr="00015B46" w:rsidP="00015B46">
            <w:pPr>
              <w:pStyle w:val="List2"/>
            </w:pPr>
            <w:r w:rsidRPr="00015B46">
              <w:t>1.2.</w:t>
            </w:r>
            <w:r w:rsidRPr="00015B46">
              <w:tab/>
              <w:t>Signage and placarding on vehicles or storage facilities for explosives are prepared and displa</w:t>
            </w:r>
            <w:r w:rsidRPr="00015B46">
              <w:t>yed as directed by legislative requirements.</w:t>
            </w:r>
          </w:p>
          <w:p w:rsidR="00000000" w:rsidP="00015B46">
            <w:pPr>
              <w:pStyle w:val="List2"/>
              <w:rPr>
                <w:lang w:val="en-NZ"/>
              </w:rPr>
            </w:pPr>
            <w:r w:rsidRPr="00015B46">
              <w:t>1.3.</w:t>
            </w:r>
            <w:r w:rsidRPr="00015B46">
              <w:tab/>
              <w:t>Monitoring and recording systems for authorisation to handle, store and transport explosives are established according to legislative requirements.</w:t>
            </w:r>
          </w:p>
        </w:tc>
      </w:tr>
      <w:tr w:rsidTr="002C4AA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List"/>
              <w:rPr>
                <w:lang w:val="en-NZ"/>
              </w:rPr>
            </w:pPr>
            <w:r w:rsidRPr="00015B46">
              <w:t>2.</w:t>
            </w:r>
            <w:r w:rsidRPr="00015B46">
              <w:tab/>
              <w:t>Transport explosives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List2"/>
            </w:pPr>
            <w:r w:rsidRPr="00015B46">
              <w:t>2.1.</w:t>
            </w:r>
            <w:r w:rsidRPr="00015B46">
              <w:tab/>
              <w:t>Arrangements to maintain the</w:t>
            </w:r>
            <w:r w:rsidRPr="00015B46">
              <w:t xml:space="preserve"> integrity and security of transported explosives are established in line with enterprise requirements.</w:t>
            </w:r>
          </w:p>
          <w:p w:rsidR="00000000" w:rsidRPr="00015B46" w:rsidP="00015B46">
            <w:pPr>
              <w:pStyle w:val="List2"/>
            </w:pPr>
            <w:r w:rsidRPr="00015B46">
              <w:t>2.2.</w:t>
            </w:r>
            <w:r w:rsidRPr="00015B46">
              <w:tab/>
              <w:t>Security procedures to ensure explosives arrive at the destination intact according to specified time and condition are instituted.</w:t>
            </w:r>
          </w:p>
          <w:p w:rsidR="00000000" w:rsidRPr="00015B46" w:rsidP="00015B46">
            <w:pPr>
              <w:pStyle w:val="List2"/>
            </w:pPr>
            <w:r w:rsidRPr="00015B46">
              <w:t>2.3.</w:t>
            </w:r>
            <w:r w:rsidRPr="00015B46">
              <w:tab/>
              <w:t xml:space="preserve">Workplace </w:t>
            </w:r>
            <w:r w:rsidRPr="00015B46">
              <w:t>strategies to carry out emergency procedures as required are implemented in compliance with legislative requirements.</w:t>
            </w:r>
          </w:p>
          <w:p w:rsidR="00000000" w:rsidP="00015B46">
            <w:pPr>
              <w:pStyle w:val="List2"/>
              <w:rPr>
                <w:lang w:val="en-NZ"/>
              </w:rPr>
            </w:pPr>
            <w:r w:rsidRPr="00015B46">
              <w:t>2.4.</w:t>
            </w:r>
            <w:r w:rsidRPr="00015B46">
              <w:tab/>
              <w:t>Explosives are loaded and transported in accordance with all prevailing legislation and individual enterprise requirements.</w:t>
            </w:r>
          </w:p>
        </w:tc>
      </w:tr>
      <w:tr w:rsidTr="002C4AA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List"/>
              <w:rPr>
                <w:lang w:val="en-NZ"/>
              </w:rPr>
            </w:pPr>
            <w:r w:rsidRPr="00015B46">
              <w:t>3.</w:t>
            </w:r>
            <w:r w:rsidRPr="00015B46">
              <w:tab/>
              <w:t>Store</w:t>
            </w:r>
            <w:r w:rsidRPr="00015B46">
              <w:t xml:space="preserve"> explosives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List2"/>
            </w:pPr>
            <w:r w:rsidRPr="00015B46">
              <w:t>3.1.</w:t>
            </w:r>
            <w:r w:rsidRPr="00015B46">
              <w:tab/>
              <w:t>The requirements for the safe and secure storage of explosives are defined and actioned in accordance with legislative requirements.</w:t>
            </w:r>
          </w:p>
          <w:p w:rsidR="00000000" w:rsidRPr="00015B46" w:rsidP="00015B46">
            <w:pPr>
              <w:pStyle w:val="List2"/>
            </w:pPr>
            <w:r w:rsidRPr="00015B46">
              <w:t>3.2.</w:t>
            </w:r>
            <w:r w:rsidRPr="00015B46">
              <w:tab/>
              <w:t>Requirements for personnel authorised to gain access are defined according to legislative requirement</w:t>
            </w:r>
            <w:r w:rsidRPr="00015B46">
              <w:t>s.</w:t>
            </w:r>
          </w:p>
          <w:p w:rsidR="00000000" w:rsidRPr="00015B46" w:rsidP="00015B46">
            <w:pPr>
              <w:pStyle w:val="List2"/>
            </w:pPr>
            <w:r w:rsidRPr="00015B46">
              <w:t>3.3.</w:t>
            </w:r>
            <w:r w:rsidRPr="00015B46">
              <w:tab/>
              <w:t>Security is monitored and maintained in accordance with legislative requirements and the enterprise.</w:t>
            </w:r>
          </w:p>
          <w:p w:rsidR="00000000" w:rsidRPr="00015B46" w:rsidP="00015B46">
            <w:pPr>
              <w:pStyle w:val="List2"/>
            </w:pPr>
            <w:r w:rsidRPr="00015B46">
              <w:t>3.4.</w:t>
            </w:r>
            <w:r w:rsidRPr="00015B46">
              <w:tab/>
              <w:t>Recording systems for the handling and storage of explosives products are accurately implemented in line with legislative requirements.</w:t>
            </w:r>
          </w:p>
        </w:tc>
      </w:tr>
    </w:tbl>
    <w:p w:rsidR="002C4AAA" w:rsidP="00015B46">
      <w:pPr>
        <w:pStyle w:val="BodyText"/>
      </w:pPr>
    </w:p>
    <w:p w:rsidR="002C4AAA" w:rsidP="00015B46">
      <w:pPr>
        <w:pStyle w:val="BodyText"/>
      </w:pPr>
    </w:p>
    <w:p w:rsidR="00000000" w:rsidRPr="00015B46" w:rsidP="00015B46">
      <w:pPr>
        <w:pStyle w:val="Heading1"/>
      </w:pPr>
      <w:bookmarkStart w:id="9" w:name="O_256457"/>
      <w:bookmarkEnd w:id="9"/>
      <w:r w:rsidRPr="00015B46">
        <w:t>Required Skills and Knowledge</w:t>
      </w:r>
    </w:p>
    <w:tbl>
      <w:tblPr>
        <w:tblW w:w="0" w:type="auto"/>
        <w:tblLayout w:type="fixed"/>
        <w:tblCellMar>
          <w:left w:w="62" w:type="dxa"/>
          <w:right w:w="62" w:type="dxa"/>
        </w:tblCellMar>
        <w:tblLook w:val="0000"/>
      </w:tblPr>
      <w:tblGrid>
        <w:gridCol w:w="8522"/>
      </w:tblGrid>
      <w:tr w:rsidTr="002C4A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REQUIRED SKILLS AND KNOWLEDGE</w:t>
            </w:r>
          </w:p>
        </w:tc>
      </w:tr>
      <w:tr w:rsidTr="002C4A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t>This section describes the skills and knowledge required for this unit.</w:t>
            </w:r>
          </w:p>
        </w:tc>
      </w:tr>
      <w:tr w:rsidTr="002C4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Required skills</w:t>
            </w:r>
          </w:p>
        </w:tc>
      </w:tr>
      <w:tr w:rsidTr="002C4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ListBullet"/>
            </w:pPr>
            <w:r w:rsidRPr="00015B46">
              <w:t>identify hazards and implement safe work procedures</w:t>
            </w:r>
          </w:p>
          <w:p w:rsidR="00000000" w:rsidRPr="00015B46" w:rsidP="00015B46">
            <w:pPr>
              <w:pStyle w:val="ListBullet"/>
            </w:pPr>
            <w:r w:rsidRPr="00015B46">
              <w:t>identify and accurately state the requirements for the handling, storage and transport of explosive products</w:t>
            </w:r>
          </w:p>
          <w:p w:rsidR="00000000" w:rsidRPr="00015B46" w:rsidP="00015B46">
            <w:pPr>
              <w:pStyle w:val="ListBullet"/>
            </w:pPr>
            <w:r w:rsidRPr="00015B46">
              <w:t>correctly identify essential components of requirements for the loading and transport of explosives</w:t>
            </w:r>
          </w:p>
          <w:p w:rsidR="00000000" w:rsidRPr="00015B46" w:rsidP="00015B46">
            <w:pPr>
              <w:pStyle w:val="ListBullet"/>
            </w:pPr>
            <w:r w:rsidRPr="00015B46">
              <w:t>use literacy skills to read, interpret and foll</w:t>
            </w:r>
            <w:r w:rsidRPr="00015B46">
              <w:t>ow organisational policies and procedures, follow sequenced written instructions, record accurately and legible information collected and select and apply procedures for a range of tasks</w:t>
            </w:r>
          </w:p>
          <w:p w:rsidR="00000000" w:rsidRPr="00015B46" w:rsidP="00015B46">
            <w:pPr>
              <w:pStyle w:val="ListBullet"/>
            </w:pPr>
            <w:r w:rsidRPr="00015B46">
              <w:t>use oral communication skills/language competence to fulfil the job r</w:t>
            </w:r>
            <w:r w:rsidRPr="00015B46">
              <w:t>ole as specified by the organisation, including questioning techniques, active listening, clarifying information and consulting with supervisors as required</w:t>
            </w:r>
          </w:p>
          <w:p w:rsidR="00000000" w:rsidRPr="00015B46" w:rsidP="00015B46">
            <w:pPr>
              <w:pStyle w:val="ListBullet"/>
            </w:pPr>
            <w:r w:rsidRPr="00015B46">
              <w:t>use numeracy skills to estimate, calculate and record routine workplace measures</w:t>
            </w:r>
          </w:p>
          <w:p w:rsidR="00000000" w:rsidP="00015B46">
            <w:pPr>
              <w:pStyle w:val="ListBullet"/>
              <w:rPr>
                <w:lang w:val="en-NZ"/>
              </w:rPr>
            </w:pPr>
            <w:r w:rsidRPr="00015B46">
              <w:t xml:space="preserve">use interpersonal </w:t>
            </w:r>
            <w:r w:rsidRPr="00015B46">
              <w:t>skills to work with and relate to people from a range of cultural, social and religious backgrounds and with a range of physical and mental abilities.</w:t>
            </w:r>
          </w:p>
        </w:tc>
      </w:tr>
      <w:tr w:rsidTr="002C4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Required knowledge</w:t>
            </w:r>
          </w:p>
        </w:tc>
      </w:tr>
      <w:tr w:rsidTr="002C4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ListBullet"/>
            </w:pPr>
            <w:r w:rsidRPr="00015B46">
              <w:t>local conditions and factors in the handling, transporting and storage of explosive</w:t>
            </w:r>
            <w:r w:rsidRPr="00015B46">
              <w:t>s</w:t>
            </w:r>
          </w:p>
          <w:p w:rsidR="00000000" w:rsidRPr="00015B46" w:rsidP="00015B46">
            <w:pPr>
              <w:pStyle w:val="ListBullet"/>
            </w:pPr>
            <w:r w:rsidRPr="00015B46">
              <w:t>actual performance of correct loading and transporting components of explosive products</w:t>
            </w:r>
          </w:p>
          <w:p w:rsidR="00000000" w:rsidRPr="00015B46" w:rsidP="00015B46">
            <w:pPr>
              <w:pStyle w:val="ListBullet"/>
            </w:pPr>
            <w:r w:rsidRPr="00015B46">
              <w:t>care and preventive measures required to eliminate risk of fire and deterioration of stored materials</w:t>
            </w:r>
          </w:p>
          <w:p w:rsidR="00000000" w:rsidRPr="00015B46" w:rsidP="00015B46">
            <w:pPr>
              <w:pStyle w:val="ListBullet"/>
            </w:pPr>
            <w:r w:rsidRPr="00015B46">
              <w:t xml:space="preserve">procedures for buying commercial explosives and blasting agents </w:t>
            </w:r>
            <w:r w:rsidRPr="00015B46">
              <w:t>from licensed dealers and Government agencies</w:t>
            </w:r>
          </w:p>
          <w:p w:rsidR="00000000" w:rsidRPr="00015B46" w:rsidP="00015B46">
            <w:pPr>
              <w:pStyle w:val="ListBullet"/>
            </w:pPr>
            <w:r w:rsidRPr="00015B46">
              <w:t>Australian Explosives Code (issued by Commonwealth Dept. of Transport and Regional Services)</w:t>
            </w:r>
          </w:p>
          <w:p w:rsidR="00000000" w:rsidRPr="00015B46" w:rsidP="00015B46">
            <w:pPr>
              <w:pStyle w:val="ListBullet"/>
            </w:pPr>
            <w:r w:rsidRPr="00015B46">
              <w:t>identification of defective or damaged explosives</w:t>
            </w:r>
          </w:p>
          <w:p w:rsidR="00000000" w:rsidRPr="00015B46" w:rsidP="00015B46">
            <w:pPr>
              <w:pStyle w:val="ListBullet"/>
            </w:pPr>
            <w:r w:rsidRPr="00015B46">
              <w:t>environmental conditions required for safe storage.</w:t>
            </w:r>
          </w:p>
        </w:tc>
      </w:tr>
    </w:tbl>
    <w:p w:rsidR="002C4AAA" w:rsidP="00015B46">
      <w:pPr>
        <w:pStyle w:val="BodyText"/>
      </w:pPr>
    </w:p>
    <w:p w:rsidR="002C4AAA" w:rsidP="00015B46">
      <w:pPr>
        <w:pStyle w:val="BodyText"/>
      </w:pPr>
    </w:p>
    <w:p w:rsidR="00000000" w:rsidRPr="00015B46" w:rsidP="00015B46">
      <w:pPr>
        <w:pStyle w:val="AllowPageBreak"/>
      </w:pPr>
    </w:p>
    <w:p w:rsidR="00000000" w:rsidRPr="00015B46" w:rsidP="00015B46">
      <w:pPr>
        <w:pStyle w:val="Heading1"/>
      </w:pPr>
      <w:bookmarkStart w:id="10" w:name="O_240491"/>
      <w:bookmarkEnd w:id="10"/>
      <w:r w:rsidRPr="00015B46">
        <w:t>Evidence Guide</w:t>
      </w:r>
    </w:p>
    <w:tbl>
      <w:tblPr>
        <w:tblW w:w="9570" w:type="dxa"/>
        <w:tblLayout w:type="fixed"/>
        <w:tblCellMar>
          <w:left w:w="62" w:type="dxa"/>
          <w:right w:w="62" w:type="dxa"/>
        </w:tblCellMar>
        <w:tblLook w:val="0000"/>
      </w:tblPr>
      <w:tblGrid>
        <w:gridCol w:w="3908"/>
        <w:gridCol w:w="5662"/>
      </w:tblGrid>
      <w:tr w:rsidTr="002C4A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EVIDENCE GUIDE</w:t>
            </w:r>
          </w:p>
        </w:tc>
      </w:tr>
      <w:tr w:rsidTr="002C4A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t>The evidence guide provides advice on assessment and must be read in conjunction with the performance criteria, required skills and knowledge, range statement and the Assessment Guidelines for the Train</w:t>
            </w:r>
            <w:r w:rsidRPr="00015B46">
              <w:t>ing Package.</w:t>
            </w:r>
          </w:p>
        </w:tc>
      </w:tr>
      <w:tr w:rsidTr="002C4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p>
        </w:tc>
      </w:tr>
      <w:tr w:rsidTr="002C4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BodyText"/>
            </w:pPr>
            <w:r w:rsidRPr="00015B46">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15B46" w:rsidP="00015B46">
            <w:pPr>
              <w:pStyle w:val="ListBullet"/>
            </w:pPr>
            <w:r w:rsidRPr="00015B46">
              <w:t>establish monitoring and recording systems for handling, storing and transporting explosives according to legislative requirements</w:t>
            </w:r>
          </w:p>
          <w:p w:rsidR="00000000" w:rsidRPr="00015B46" w:rsidP="00015B46">
            <w:pPr>
              <w:pStyle w:val="ListBullet"/>
            </w:pPr>
            <w:r w:rsidRPr="00015B46">
              <w:t>display placarding on vehicles transporting explosives</w:t>
            </w:r>
          </w:p>
          <w:p w:rsidR="00000000" w:rsidRPr="00015B46" w:rsidP="00015B46">
            <w:pPr>
              <w:pStyle w:val="ListBullet"/>
            </w:pPr>
            <w:r w:rsidRPr="00015B46">
              <w:t>implement security procedures for all explosives on hand</w:t>
            </w:r>
          </w:p>
          <w:p w:rsidR="00000000" w:rsidP="00015B46">
            <w:pPr>
              <w:pStyle w:val="ListBullet"/>
              <w:rPr>
                <w:lang w:val="en-NZ"/>
              </w:rPr>
            </w:pPr>
            <w:r w:rsidRPr="00015B46">
              <w:t>develop proc</w:t>
            </w:r>
            <w:r w:rsidRPr="00015B46">
              <w:t>edures for dealing with an emergency with transported or stored explosives.</w:t>
            </w:r>
          </w:p>
        </w:tc>
      </w:tr>
      <w:tr w:rsidTr="002C4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BodyText"/>
            </w:pPr>
            <w:r w:rsidRPr="00015B46">
              <w:t>Competency requires the application of work practices under work conditions.  Selection and use of resources for some worksites ma</w:t>
            </w:r>
            <w:r w:rsidRPr="00015B46">
              <w:t>y differ due to the regional or enterprise circumstances.</w:t>
            </w:r>
          </w:p>
        </w:tc>
      </w:tr>
    </w:tbl>
    <w:p w:rsidR="002C4AAA" w:rsidP="00015B46">
      <w:pPr>
        <w:pStyle w:val="BodyText"/>
      </w:pPr>
    </w:p>
    <w:p w:rsidR="002C4AAA" w:rsidP="00015B46">
      <w:pPr>
        <w:pStyle w:val="BodyText"/>
      </w:pPr>
    </w:p>
    <w:p w:rsidR="00000000" w:rsidRPr="00015B46" w:rsidP="00015B46">
      <w:pPr>
        <w:pStyle w:val="Heading1"/>
      </w:pPr>
      <w:bookmarkStart w:id="11" w:name="O_248474"/>
      <w:bookmarkEnd w:id="11"/>
      <w:r w:rsidRPr="00015B46">
        <w:t>Range Statement</w:t>
      </w:r>
    </w:p>
    <w:tbl>
      <w:tblPr>
        <w:tblW w:w="0" w:type="auto"/>
        <w:tblLayout w:type="fixed"/>
        <w:tblCellMar>
          <w:left w:w="62" w:type="dxa"/>
          <w:right w:w="62" w:type="dxa"/>
        </w:tblCellMar>
        <w:tblLook w:val="0000"/>
      </w:tblPr>
      <w:tblGrid>
        <w:gridCol w:w="3519"/>
        <w:gridCol w:w="5003"/>
      </w:tblGrid>
      <w:tr w:rsidTr="002C4A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RANGE STATEMENT</w:t>
            </w:r>
          </w:p>
        </w:tc>
      </w:tr>
      <w:tr w:rsidTr="002C4A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t>The range statement relates to the unit of competency as a whole.</w:t>
            </w:r>
          </w:p>
        </w:tc>
      </w:tr>
      <w:tr w:rsidTr="002C4AA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t>Security procedures and systems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ListBullet"/>
            </w:pPr>
            <w:r w:rsidRPr="00015B46">
              <w:t>the provisions of AS Explosives Code Storage and Transport; Australian Code for the transport of explosives by Road and Rail (ATE Code); and/or other State or Territory legislation. The Australian Standards relevant to this standard include AS2187.1 - 1998</w:t>
            </w:r>
            <w:r w:rsidRPr="00015B46">
              <w:t>, Part 1: Storage and land transport. AS2187.2 - 1993, Explosives - Storage, transport and use. AS2187.0 - 1998, Explosives Glossary of terms. AS1216  1995, Class labels for dangerous goods, and/or in any the relevant State and Territory legislation.</w:t>
            </w:r>
          </w:p>
        </w:tc>
      </w:tr>
    </w:tbl>
    <w:p w:rsidR="002C4AAA" w:rsidP="00015B46">
      <w:pPr>
        <w:pStyle w:val="BodyText"/>
      </w:pPr>
    </w:p>
    <w:p w:rsidR="002C4AAA" w:rsidP="00015B46">
      <w:pPr>
        <w:pStyle w:val="BodyText"/>
      </w:pPr>
    </w:p>
    <w:p w:rsidR="00000000" w:rsidRPr="00015B46" w:rsidP="00015B46">
      <w:pPr>
        <w:pStyle w:val="Heading1"/>
      </w:pPr>
      <w:bookmarkStart w:id="12" w:name="O_187707"/>
      <w:bookmarkEnd w:id="12"/>
      <w:r w:rsidRPr="00015B46">
        <w:t>Unit Sector(s)</w:t>
      </w:r>
    </w:p>
    <w:tbl>
      <w:tblPr>
        <w:tblW w:w="0" w:type="auto"/>
        <w:tblLayout w:type="fixed"/>
        <w:tblCellMar>
          <w:left w:w="62" w:type="dxa"/>
          <w:right w:w="62" w:type="dxa"/>
        </w:tblCellMar>
        <w:tblLook w:val="0000"/>
      </w:tblPr>
      <w:tblGrid>
        <w:gridCol w:w="2654"/>
        <w:gridCol w:w="5868"/>
      </w:tblGrid>
      <w:tr w:rsidTr="002C4AA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BodyText"/>
            </w:pPr>
          </w:p>
        </w:tc>
      </w:tr>
    </w:tbl>
    <w:p w:rsidR="002C4AAA" w:rsidP="00015B46">
      <w:pPr>
        <w:pStyle w:val="BodyText"/>
      </w:pPr>
    </w:p>
    <w:p w:rsidR="002C4AAA" w:rsidP="00015B46">
      <w:pPr>
        <w:pStyle w:val="BodyText"/>
      </w:pPr>
    </w:p>
    <w:p w:rsidR="00000000" w:rsidRPr="00015B46" w:rsidP="00015B46">
      <w:pPr>
        <w:pStyle w:val="Heading1"/>
      </w:pPr>
      <w:bookmarkStart w:id="13" w:name="O_187704"/>
      <w:bookmarkEnd w:id="13"/>
      <w:r w:rsidRPr="00015B46">
        <w:t>Co-requisite units</w:t>
      </w:r>
    </w:p>
    <w:tbl>
      <w:tblPr>
        <w:tblW w:w="0" w:type="auto"/>
        <w:tblLayout w:type="fixed"/>
        <w:tblCellMar>
          <w:left w:w="62" w:type="dxa"/>
          <w:right w:w="62" w:type="dxa"/>
        </w:tblCellMar>
        <w:tblLook w:val="0000"/>
      </w:tblPr>
      <w:tblGrid>
        <w:gridCol w:w="2641"/>
        <w:gridCol w:w="1322"/>
        <w:gridCol w:w="4559"/>
      </w:tblGrid>
      <w:tr w:rsidTr="002C4A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p>
        </w:tc>
      </w:tr>
      <w:tr w:rsidTr="002C4A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p>
        </w:tc>
      </w:tr>
      <w:tr w:rsidTr="002C4A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BodyText"/>
            </w:pPr>
          </w:p>
        </w:tc>
      </w:tr>
    </w:tbl>
    <w:p w:rsidR="002C4AAA" w:rsidP="00015B46">
      <w:pPr>
        <w:pStyle w:val="BodyText"/>
      </w:pPr>
    </w:p>
    <w:p w:rsidR="002C4AAA" w:rsidP="00015B46">
      <w:pPr>
        <w:pStyle w:val="BodyText"/>
      </w:pPr>
    </w:p>
    <w:p w:rsidR="00000000" w:rsidRPr="00015B46" w:rsidP="00015B46">
      <w:pPr>
        <w:pStyle w:val="Heading1"/>
      </w:pPr>
      <w:bookmarkStart w:id="14" w:name="O_187706"/>
      <w:bookmarkEnd w:id="14"/>
      <w:r w:rsidRPr="00015B46">
        <w:t>Competency field</w:t>
      </w:r>
    </w:p>
    <w:tbl>
      <w:tblPr>
        <w:tblW w:w="0" w:type="auto"/>
        <w:tblLayout w:type="fixed"/>
        <w:tblCellMar>
          <w:left w:w="62" w:type="dxa"/>
          <w:right w:w="62" w:type="dxa"/>
        </w:tblCellMar>
        <w:tblLook w:val="0000"/>
      </w:tblPr>
      <w:tblGrid>
        <w:gridCol w:w="2776"/>
        <w:gridCol w:w="5746"/>
      </w:tblGrid>
      <w:tr w:rsidTr="002C4AA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B46">
            <w:pPr>
              <w:pStyle w:val="BodyText"/>
              <w:rPr>
                <w:lang w:val="en-NZ"/>
              </w:rPr>
            </w:pPr>
            <w:r w:rsidRPr="00015B4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B46" w:rsidP="00015B46">
            <w:pPr>
              <w:pStyle w:val="BodyText"/>
            </w:pPr>
            <w:r w:rsidRPr="00015B46">
              <w:t>Explosives</w:t>
            </w:r>
          </w:p>
        </w:tc>
      </w:tr>
    </w:tbl>
    <w:p w:rsidR="002C4AAA" w:rsidP="00015B46">
      <w:pPr>
        <w:pStyle w:val="BodyText"/>
      </w:pPr>
    </w:p>
    <w:p w:rsidR="002C4AAA" w:rsidP="00015B46">
      <w:pPr>
        <w:pStyle w:val="BodyText"/>
      </w:pPr>
    </w:p>
    <w:p w:rsidR="00000000" w:rsidRPr="00015B46" w:rsidP="00015B46"/>
    <w:sectPr w:rsidSect="00015B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AAA" w:rsidP="002C4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AA" w:rsidP="00015B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4AAA" w:rsidP="00015B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C4AAA" w:rsidP="00015B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AAA" w:rsidP="002C4A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AA" w:rsidP="00015B46">
    <w:pPr>
      <w:pStyle w:val="Header"/>
      <w:framePr w:wrap="around"/>
    </w:pPr>
    <w:r>
      <w:fldChar w:fldCharType="begin"/>
    </w:r>
    <w:r>
      <w:instrText xml:space="preserve"> TITLE   \* MERGEFORMAT </w:instrText>
    </w:r>
    <w:r>
      <w:fldChar w:fldCharType="separate"/>
    </w:r>
    <w:r>
      <w:t>AHCEXP301A Handle and store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4AAA" w:rsidP="00015B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1857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1CC0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B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5B46"/>
    <w:pPr>
      <w:spacing w:before="360" w:after="60"/>
      <w:outlineLvl w:val="0"/>
    </w:pPr>
    <w:rPr>
      <w:sz w:val="32"/>
    </w:rPr>
  </w:style>
  <w:style w:type="paragraph" w:styleId="Heading2">
    <w:name w:val="heading 2"/>
    <w:basedOn w:val="HeadingBase"/>
    <w:next w:val="BodyText"/>
    <w:link w:val="Heading2Char"/>
    <w:qFormat/>
    <w:rsid w:val="00015B46"/>
    <w:pPr>
      <w:keepLines/>
      <w:spacing w:before="240" w:after="120"/>
      <w:outlineLvl w:val="1"/>
    </w:pPr>
    <w:rPr>
      <w:sz w:val="28"/>
      <w:szCs w:val="40"/>
    </w:rPr>
  </w:style>
  <w:style w:type="paragraph" w:styleId="Heading3">
    <w:name w:val="heading 3"/>
    <w:basedOn w:val="HeadingBase"/>
    <w:next w:val="BodyText"/>
    <w:link w:val="Heading3Char"/>
    <w:qFormat/>
    <w:rsid w:val="00015B46"/>
    <w:pPr>
      <w:spacing w:before="180" w:after="120"/>
      <w:outlineLvl w:val="2"/>
    </w:pPr>
    <w:rPr>
      <w:spacing w:val="-10"/>
      <w:kern w:val="32"/>
    </w:rPr>
  </w:style>
  <w:style w:type="paragraph" w:styleId="Heading4">
    <w:name w:val="heading 4"/>
    <w:basedOn w:val="HeadingBase"/>
    <w:next w:val="BodyText"/>
    <w:link w:val="Heading4Char"/>
    <w:qFormat/>
    <w:rsid w:val="00015B46"/>
    <w:pPr>
      <w:spacing w:before="160" w:after="120"/>
      <w:outlineLvl w:val="3"/>
    </w:pPr>
    <w:rPr>
      <w:sz w:val="22"/>
    </w:rPr>
  </w:style>
  <w:style w:type="paragraph" w:styleId="Heading5">
    <w:name w:val="heading 5"/>
    <w:basedOn w:val="HeadingBase"/>
    <w:next w:val="Normal"/>
    <w:link w:val="Heading5Char"/>
    <w:qFormat/>
    <w:rsid w:val="00015B46"/>
    <w:pPr>
      <w:spacing w:before="80"/>
      <w:outlineLvl w:val="4"/>
    </w:pPr>
    <w:rPr>
      <w:color w:val="918585"/>
      <w:sz w:val="20"/>
    </w:rPr>
  </w:style>
  <w:style w:type="paragraph" w:styleId="Heading6">
    <w:name w:val="heading 6"/>
    <w:basedOn w:val="HeadingBase"/>
    <w:next w:val="Normal"/>
    <w:link w:val="Heading6Char"/>
    <w:qFormat/>
    <w:rsid w:val="00015B46"/>
    <w:pPr>
      <w:spacing w:before="60"/>
      <w:outlineLvl w:val="5"/>
    </w:pPr>
    <w:rPr>
      <w:color w:val="918585"/>
      <w:sz w:val="20"/>
    </w:rPr>
  </w:style>
  <w:style w:type="paragraph" w:styleId="Heading7">
    <w:name w:val="heading 7"/>
    <w:basedOn w:val="Normal"/>
    <w:next w:val="Normal"/>
    <w:link w:val="Heading7Char"/>
    <w:qFormat/>
    <w:rsid w:val="00015B46"/>
    <w:pPr>
      <w:ind w:left="720"/>
      <w:outlineLvl w:val="6"/>
    </w:pPr>
    <w:rPr>
      <w:i/>
    </w:rPr>
  </w:style>
  <w:style w:type="paragraph" w:styleId="Heading8">
    <w:name w:val="heading 8"/>
    <w:basedOn w:val="Normal"/>
    <w:next w:val="Normal"/>
    <w:link w:val="Heading8Char"/>
    <w:qFormat/>
    <w:rsid w:val="00015B46"/>
    <w:pPr>
      <w:ind w:left="720"/>
      <w:outlineLvl w:val="7"/>
    </w:pPr>
    <w:rPr>
      <w:i/>
    </w:rPr>
  </w:style>
  <w:style w:type="paragraph" w:styleId="Heading9">
    <w:name w:val="heading 9"/>
    <w:basedOn w:val="Normal"/>
    <w:next w:val="Normal"/>
    <w:link w:val="Heading9Char"/>
    <w:qFormat/>
    <w:rsid w:val="00015B46"/>
    <w:pPr>
      <w:ind w:left="720"/>
      <w:outlineLvl w:val="8"/>
    </w:pPr>
    <w:rPr>
      <w:i/>
    </w:rPr>
  </w:style>
  <w:style w:type="character" w:default="1" w:styleId="DefaultParagraphFont">
    <w:name w:val="Default Paragraph Font"/>
    <w:uiPriority w:val="1"/>
    <w:unhideWhenUsed/>
    <w:rsid w:val="00015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B46"/>
  </w:style>
  <w:style w:type="character" w:customStyle="1" w:styleId="Heading1Char">
    <w:name w:val="Heading 1 Char"/>
    <w:basedOn w:val="DefaultParagraphFont"/>
    <w:link w:val="Heading1"/>
    <w:rsid w:val="00015B46"/>
    <w:rPr>
      <w:rFonts w:ascii="Times New Roman" w:eastAsia="Times New Roman" w:hAnsi="Times New Roman" w:cs="Times New Roman"/>
      <w:b/>
      <w:sz w:val="32"/>
      <w:szCs w:val="20"/>
      <w:lang w:eastAsia="en-US"/>
    </w:rPr>
  </w:style>
  <w:style w:type="paragraph" w:styleId="BodyText">
    <w:name w:val="Body Text"/>
    <w:basedOn w:val="Normal"/>
    <w:link w:val="BodyTextChar"/>
    <w:rsid w:val="00015B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5B46"/>
    <w:rPr>
      <w:rFonts w:ascii="Times New Roman" w:eastAsia="Times New Roman" w:hAnsi="Times New Roman" w:cs="Times New Roman"/>
      <w:sz w:val="24"/>
      <w:lang w:val="en-US" w:eastAsia="en-US"/>
    </w:rPr>
  </w:style>
  <w:style w:type="paragraph" w:styleId="Footer">
    <w:name w:val="footer"/>
    <w:basedOn w:val="Normal"/>
    <w:link w:val="FooterChar"/>
    <w:rsid w:val="00015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B46"/>
    <w:rPr>
      <w:rFonts w:ascii="Times New Roman" w:eastAsia="Times New Roman" w:hAnsi="Times New Roman" w:cs="Times New Roman"/>
      <w:sz w:val="16"/>
      <w:lang w:val="en-US" w:eastAsia="en-US"/>
    </w:rPr>
  </w:style>
  <w:style w:type="paragraph" w:styleId="List">
    <w:name w:val="List"/>
    <w:basedOn w:val="BodyText"/>
    <w:next w:val="BodyText"/>
    <w:rsid w:val="00015B46"/>
    <w:pPr>
      <w:tabs>
        <w:tab w:val="left" w:pos="340"/>
      </w:tabs>
      <w:spacing w:before="60" w:after="60"/>
      <w:ind w:left="340" w:hanging="340"/>
    </w:pPr>
  </w:style>
  <w:style w:type="paragraph" w:styleId="ListBullet">
    <w:name w:val="List Bullet"/>
    <w:basedOn w:val="List"/>
    <w:rsid w:val="00015B46"/>
    <w:pPr>
      <w:numPr>
        <w:numId w:val="12"/>
      </w:numPr>
      <w:tabs>
        <w:tab w:val="clear" w:pos="340"/>
      </w:tabs>
      <w:spacing w:before="40" w:after="40"/>
    </w:pPr>
  </w:style>
  <w:style w:type="character" w:customStyle="1" w:styleId="SpecialBold">
    <w:name w:val="Special Bold"/>
    <w:basedOn w:val="DefaultParagraphFont"/>
    <w:rsid w:val="00015B46"/>
    <w:rPr>
      <w:b/>
      <w:spacing w:val="0"/>
    </w:rPr>
  </w:style>
  <w:style w:type="paragraph" w:styleId="Header">
    <w:name w:val="header"/>
    <w:basedOn w:val="Normal"/>
    <w:link w:val="HeaderChar"/>
    <w:rsid w:val="00015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B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5B46"/>
    <w:pPr>
      <w:spacing w:before="240" w:after="120"/>
      <w:outlineLvl w:val="0"/>
    </w:pPr>
    <w:rPr>
      <w:rFonts w:ascii="Times New Roman" w:hAnsi="Times New Roman"/>
      <w:b/>
      <w:sz w:val="28"/>
    </w:rPr>
  </w:style>
  <w:style w:type="paragraph" w:customStyle="1" w:styleId="AllowPageBreak">
    <w:name w:val="AllowPageBreak"/>
    <w:rsid w:val="00015B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5B46"/>
    <w:pPr>
      <w:tabs>
        <w:tab w:val="left" w:pos="680"/>
      </w:tabs>
      <w:spacing w:before="60" w:after="60"/>
      <w:ind w:left="680" w:hanging="340"/>
    </w:pPr>
  </w:style>
  <w:style w:type="character" w:customStyle="1" w:styleId="Heading2Char">
    <w:name w:val="Heading 2 Char"/>
    <w:basedOn w:val="DefaultParagraphFont"/>
    <w:link w:val="Heading2"/>
    <w:rsid w:val="00015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B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5B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5B46"/>
    <w:rPr>
      <w:rFonts w:ascii="Courier New" w:eastAsia="Times New Roman" w:hAnsi="Courier New" w:cs="Times New Roman"/>
      <w:i/>
      <w:szCs w:val="20"/>
      <w:lang w:val="en-US" w:eastAsia="en-US"/>
    </w:rPr>
  </w:style>
  <w:style w:type="paragraph" w:customStyle="1" w:styleId="HeadingBase">
    <w:name w:val="Heading Base"/>
    <w:rsid w:val="00015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B46"/>
    <w:pPr>
      <w:tabs>
        <w:tab w:val="right" w:leader="dot" w:pos="9072"/>
      </w:tabs>
      <w:ind w:left="567"/>
    </w:pPr>
    <w:rPr>
      <w:szCs w:val="22"/>
    </w:rPr>
  </w:style>
  <w:style w:type="paragraph" w:customStyle="1" w:styleId="TOCBase">
    <w:name w:val="TOC Base"/>
    <w:rsid w:val="00015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B46"/>
    <w:pPr>
      <w:tabs>
        <w:tab w:val="right" w:leader="dot" w:pos="9072"/>
      </w:tabs>
      <w:spacing w:before="40" w:after="40"/>
      <w:ind w:left="284"/>
    </w:pPr>
    <w:rPr>
      <w:rFonts w:ascii="Times New Roman" w:hAnsi="Times New Roman"/>
    </w:rPr>
  </w:style>
  <w:style w:type="paragraph" w:styleId="TOC1">
    <w:name w:val="toc 1"/>
    <w:basedOn w:val="TOCBase"/>
    <w:next w:val="Normal"/>
    <w:rsid w:val="00015B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5B46"/>
    <w:pPr>
      <w:spacing w:before="5040"/>
      <w:jc w:val="center"/>
    </w:pPr>
    <w:rPr>
      <w:sz w:val="48"/>
      <w:szCs w:val="72"/>
      <w:lang w:val="en-US"/>
    </w:rPr>
  </w:style>
  <w:style w:type="character" w:customStyle="1" w:styleId="TitleChar">
    <w:name w:val="Title Char"/>
    <w:basedOn w:val="DefaultParagraphFont"/>
    <w:link w:val="Title"/>
    <w:rsid w:val="00015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B46"/>
    <w:pPr>
      <w:tabs>
        <w:tab w:val="left" w:pos="3600"/>
        <w:tab w:val="left" w:pos="3958"/>
      </w:tabs>
    </w:pPr>
  </w:style>
  <w:style w:type="paragraph" w:customStyle="1" w:styleId="Note">
    <w:name w:val="Note"/>
    <w:basedOn w:val="BodyText"/>
    <w:rsid w:val="00015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B46"/>
    <w:pPr>
      <w:framePr w:wrap="auto" w:hAnchor="text" w:y="6049"/>
    </w:pPr>
    <w:rPr>
      <w:color w:val="000000"/>
      <w:sz w:val="40"/>
    </w:rPr>
  </w:style>
  <w:style w:type="paragraph" w:customStyle="1" w:styleId="TOCTitle">
    <w:name w:val="TOCTitle"/>
    <w:basedOn w:val="Heading1"/>
    <w:rsid w:val="00015B46"/>
    <w:pPr>
      <w:spacing w:after="240"/>
      <w:jc w:val="center"/>
      <w:outlineLvl w:val="9"/>
    </w:pPr>
    <w:rPr>
      <w:caps/>
    </w:rPr>
  </w:style>
  <w:style w:type="paragraph" w:customStyle="1" w:styleId="Version">
    <w:name w:val="Version"/>
    <w:rsid w:val="00015B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5B46"/>
    <w:pPr>
      <w:numPr>
        <w:numId w:val="13"/>
      </w:numPr>
      <w:tabs>
        <w:tab w:val="clear" w:pos="680"/>
      </w:tabs>
    </w:pPr>
  </w:style>
  <w:style w:type="paragraph" w:styleId="Index1">
    <w:name w:val="index 1"/>
    <w:basedOn w:val="Normal"/>
    <w:next w:val="Normal"/>
    <w:semiHidden/>
    <w:rsid w:val="00015B46"/>
    <w:pPr>
      <w:keepNext w:val="0"/>
      <w:tabs>
        <w:tab w:val="right" w:pos="4176"/>
      </w:tabs>
      <w:ind w:left="198" w:hanging="198"/>
    </w:pPr>
    <w:rPr>
      <w:rFonts w:ascii="Garamond" w:hAnsi="Garamond"/>
    </w:rPr>
  </w:style>
  <w:style w:type="paragraph" w:styleId="IndexHeading">
    <w:name w:val="index heading"/>
    <w:basedOn w:val="Normal"/>
    <w:next w:val="Index1"/>
    <w:semiHidden/>
    <w:rsid w:val="00015B46"/>
    <w:pPr>
      <w:spacing w:before="120" w:after="120"/>
    </w:pPr>
    <w:rPr>
      <w:rFonts w:ascii="Arial" w:hAnsi="Arial"/>
      <w:b/>
      <w:color w:val="918585"/>
      <w:sz w:val="24"/>
    </w:rPr>
  </w:style>
  <w:style w:type="paragraph" w:customStyle="1" w:styleId="Chapter">
    <w:name w:val="Chapter"/>
    <w:basedOn w:val="Normal"/>
    <w:rsid w:val="00015B46"/>
    <w:pPr>
      <w:spacing w:before="240"/>
    </w:pPr>
    <w:rPr>
      <w:rFonts w:ascii="Times New Roman" w:hAnsi="Times New Roman"/>
      <w:smallCaps/>
      <w:spacing w:val="80"/>
      <w:sz w:val="28"/>
    </w:rPr>
  </w:style>
  <w:style w:type="paragraph" w:customStyle="1" w:styleId="InChapter">
    <w:name w:val="InChapter"/>
    <w:basedOn w:val="Heading3"/>
    <w:rsid w:val="00015B46"/>
    <w:pPr>
      <w:spacing w:after="240"/>
      <w:outlineLvl w:val="9"/>
    </w:pPr>
    <w:rPr>
      <w:noProof/>
    </w:rPr>
  </w:style>
  <w:style w:type="paragraph" w:styleId="Index2">
    <w:name w:val="index 2"/>
    <w:basedOn w:val="Normal"/>
    <w:next w:val="Normal"/>
    <w:semiHidden/>
    <w:rsid w:val="00015B46"/>
    <w:pPr>
      <w:tabs>
        <w:tab w:val="right" w:pos="4176"/>
      </w:tabs>
      <w:ind w:left="568" w:hanging="284"/>
    </w:pPr>
    <w:rPr>
      <w:rFonts w:ascii="Garamond" w:hAnsi="Garamond"/>
    </w:rPr>
  </w:style>
  <w:style w:type="paragraph" w:customStyle="1" w:styleId="Byline">
    <w:name w:val="Byline"/>
    <w:rsid w:val="00015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B46"/>
    <w:pPr>
      <w:tabs>
        <w:tab w:val="clear" w:pos="3600"/>
        <w:tab w:val="clear" w:pos="3958"/>
      </w:tabs>
      <w:jc w:val="right"/>
    </w:pPr>
  </w:style>
  <w:style w:type="character" w:styleId="Emphasis">
    <w:name w:val="Emphasis"/>
    <w:basedOn w:val="DefaultParagraphFont"/>
    <w:qFormat/>
    <w:rsid w:val="00015B46"/>
    <w:rPr>
      <w:i/>
    </w:rPr>
  </w:style>
  <w:style w:type="paragraph" w:styleId="Caption">
    <w:name w:val="caption"/>
    <w:basedOn w:val="BodyText"/>
    <w:next w:val="Normal"/>
    <w:qFormat/>
    <w:rsid w:val="00015B46"/>
    <w:pPr>
      <w:framePr w:w="2268" w:hSpace="181" w:vSpace="181" w:wrap="around" w:vAnchor="text" w:hAnchor="page" w:x="1135" w:y="285" w:anchorLock="1"/>
    </w:pPr>
    <w:rPr>
      <w:i/>
    </w:rPr>
  </w:style>
  <w:style w:type="paragraph" w:customStyle="1" w:styleId="MiniTOCTitle">
    <w:name w:val="MiniTOCTitle"/>
    <w:basedOn w:val="Heading4"/>
    <w:rsid w:val="00015B46"/>
    <w:pPr>
      <w:spacing w:before="240"/>
      <w:outlineLvl w:val="9"/>
    </w:pPr>
    <w:rPr>
      <w:noProof/>
      <w:sz w:val="24"/>
    </w:rPr>
  </w:style>
  <w:style w:type="paragraph" w:customStyle="1" w:styleId="MiniTOCItem">
    <w:name w:val="MiniTOCItem"/>
    <w:basedOn w:val="ListBullet"/>
    <w:rsid w:val="00015B46"/>
    <w:pPr>
      <w:numPr>
        <w:numId w:val="0"/>
      </w:numPr>
      <w:tabs>
        <w:tab w:val="right" w:leader="dot" w:pos="6521"/>
      </w:tabs>
      <w:spacing w:before="0" w:after="0"/>
    </w:pPr>
  </w:style>
  <w:style w:type="paragraph" w:customStyle="1" w:styleId="TOFTitle">
    <w:name w:val="TOFTitle"/>
    <w:basedOn w:val="TOCTitle"/>
    <w:rsid w:val="00015B46"/>
  </w:style>
  <w:style w:type="paragraph" w:styleId="TableofFigures">
    <w:name w:val="table of figures"/>
    <w:basedOn w:val="Normal"/>
    <w:next w:val="Normal"/>
    <w:semiHidden/>
    <w:rsid w:val="00015B46"/>
    <w:pPr>
      <w:tabs>
        <w:tab w:val="right" w:leader="dot" w:pos="9072"/>
      </w:tabs>
      <w:ind w:left="970" w:hanging="403"/>
    </w:pPr>
    <w:rPr>
      <w:rFonts w:ascii="Times New Roman" w:hAnsi="Times New Roman"/>
      <w:b/>
    </w:rPr>
  </w:style>
  <w:style w:type="paragraph" w:styleId="ListNumber">
    <w:name w:val="List Number"/>
    <w:basedOn w:val="List"/>
    <w:rsid w:val="00015B46"/>
    <w:pPr>
      <w:numPr>
        <w:numId w:val="10"/>
      </w:numPr>
    </w:pPr>
  </w:style>
  <w:style w:type="character" w:customStyle="1" w:styleId="WingdingSymbols">
    <w:name w:val="Wingding Symbols"/>
    <w:rsid w:val="00015B46"/>
    <w:rPr>
      <w:rFonts w:ascii="Wingdings" w:hAnsi="Wingdings"/>
    </w:rPr>
  </w:style>
  <w:style w:type="paragraph" w:customStyle="1" w:styleId="TableHeading">
    <w:name w:val="Table Heading"/>
    <w:basedOn w:val="HeadingBase"/>
    <w:rsid w:val="00015B46"/>
    <w:pPr>
      <w:keepLines/>
      <w:pBdr>
        <w:bottom w:val="single" w:sz="6" w:space="1" w:color="918585"/>
      </w:pBdr>
      <w:spacing w:before="240"/>
    </w:pPr>
  </w:style>
  <w:style w:type="character" w:customStyle="1" w:styleId="HotSpot">
    <w:name w:val="HotSpot"/>
    <w:rsid w:val="00015B46"/>
    <w:rPr>
      <w:color w:val="0033CC"/>
      <w:u w:val="none"/>
    </w:rPr>
  </w:style>
  <w:style w:type="paragraph" w:customStyle="1" w:styleId="BodyTextRight">
    <w:name w:val="Body Text Right"/>
    <w:basedOn w:val="BodyText"/>
    <w:rsid w:val="00015B46"/>
    <w:pPr>
      <w:spacing w:before="0" w:after="0"/>
      <w:jc w:val="right"/>
    </w:pPr>
  </w:style>
  <w:style w:type="paragraph" w:styleId="Index3">
    <w:name w:val="index 3"/>
    <w:basedOn w:val="ListNumber2"/>
    <w:next w:val="Normal"/>
    <w:semiHidden/>
    <w:rsid w:val="00015B46"/>
    <w:pPr>
      <w:numPr>
        <w:numId w:val="0"/>
      </w:numPr>
      <w:tabs>
        <w:tab w:val="right" w:leader="dot" w:pos="4176"/>
      </w:tabs>
    </w:pPr>
  </w:style>
  <w:style w:type="paragraph" w:styleId="ListNumber2">
    <w:name w:val="List Number 2"/>
    <w:basedOn w:val="List2"/>
    <w:rsid w:val="00015B46"/>
    <w:pPr>
      <w:numPr>
        <w:numId w:val="9"/>
      </w:numPr>
      <w:tabs>
        <w:tab w:val="clear" w:pos="1060"/>
      </w:tabs>
    </w:pPr>
  </w:style>
  <w:style w:type="paragraph" w:customStyle="1" w:styleId="MarginNote">
    <w:name w:val="Margin Note"/>
    <w:basedOn w:val="BodyText"/>
    <w:rsid w:val="00015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B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5B46"/>
    <w:rPr>
      <w:sz w:val="32"/>
    </w:rPr>
  </w:style>
  <w:style w:type="paragraph" w:customStyle="1" w:styleId="HeadingProcedure">
    <w:name w:val="Heading Procedure"/>
    <w:basedOn w:val="HeadingBase"/>
    <w:next w:val="Normal"/>
    <w:rsid w:val="00015B46"/>
    <w:pPr>
      <w:tabs>
        <w:tab w:val="left" w:pos="0"/>
      </w:tabs>
      <w:spacing w:before="120" w:after="60"/>
    </w:pPr>
    <w:rPr>
      <w:i/>
      <w:color w:val="918585"/>
      <w:sz w:val="22"/>
    </w:rPr>
  </w:style>
  <w:style w:type="paragraph" w:customStyle="1" w:styleId="TableBodyText">
    <w:name w:val="Table Body Text"/>
    <w:basedOn w:val="BodyText"/>
    <w:rsid w:val="00015B46"/>
    <w:pPr>
      <w:spacing w:before="60" w:after="60"/>
    </w:pPr>
  </w:style>
  <w:style w:type="paragraph" w:styleId="ListContinue">
    <w:name w:val="List Continue"/>
    <w:basedOn w:val="List"/>
    <w:rsid w:val="00015B46"/>
    <w:pPr>
      <w:ind w:firstLine="0"/>
    </w:pPr>
  </w:style>
  <w:style w:type="paragraph" w:customStyle="1" w:styleId="ListNote">
    <w:name w:val="List Note"/>
    <w:basedOn w:val="List"/>
    <w:rsid w:val="00015B46"/>
    <w:pPr>
      <w:pBdr>
        <w:top w:val="single" w:sz="6" w:space="2" w:color="918585"/>
        <w:bottom w:val="single" w:sz="6" w:space="2" w:color="918585"/>
      </w:pBdr>
      <w:tabs>
        <w:tab w:val="left" w:pos="1021"/>
      </w:tabs>
      <w:ind w:firstLine="0"/>
    </w:pPr>
  </w:style>
  <w:style w:type="paragraph" w:customStyle="1" w:styleId="Warning">
    <w:name w:val="Warning"/>
    <w:basedOn w:val="BodyText"/>
    <w:rsid w:val="00015B46"/>
    <w:pPr>
      <w:shd w:val="clear" w:color="auto" w:fill="D9D9D9"/>
      <w:tabs>
        <w:tab w:val="left" w:pos="992"/>
      </w:tabs>
      <w:ind w:left="119" w:right="119"/>
    </w:pPr>
    <w:rPr>
      <w:sz w:val="20"/>
    </w:rPr>
  </w:style>
  <w:style w:type="paragraph" w:customStyle="1" w:styleId="MarginIcons">
    <w:name w:val="Margin Icons"/>
    <w:basedOn w:val="BodyText"/>
    <w:rsid w:val="00015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B46"/>
    <w:rPr>
      <w:rFonts w:ascii="Courier New" w:hAnsi="Courier New"/>
    </w:rPr>
  </w:style>
  <w:style w:type="paragraph" w:customStyle="1" w:styleId="NoteBullet">
    <w:name w:val="Note Bullet"/>
    <w:basedOn w:val="Note"/>
    <w:rsid w:val="00015B46"/>
    <w:pPr>
      <w:tabs>
        <w:tab w:val="clear" w:pos="680"/>
      </w:tabs>
      <w:spacing w:before="60" w:after="60"/>
    </w:pPr>
  </w:style>
  <w:style w:type="paragraph" w:customStyle="1" w:styleId="SubHeading2">
    <w:name w:val="SubHeading2"/>
    <w:basedOn w:val="HeadingBase"/>
    <w:rsid w:val="00015B46"/>
    <w:pPr>
      <w:spacing w:before="240" w:after="60"/>
    </w:pPr>
    <w:rPr>
      <w:sz w:val="20"/>
    </w:rPr>
  </w:style>
  <w:style w:type="paragraph" w:customStyle="1" w:styleId="SubHeading1">
    <w:name w:val="SubHeading1"/>
    <w:basedOn w:val="HeadingBase"/>
    <w:rsid w:val="00015B46"/>
    <w:pPr>
      <w:spacing w:before="240" w:after="60"/>
    </w:pPr>
    <w:rPr>
      <w:color w:val="918585"/>
      <w:sz w:val="22"/>
    </w:rPr>
  </w:style>
  <w:style w:type="paragraph" w:customStyle="1" w:styleId="SideHeading">
    <w:name w:val="Side Heading"/>
    <w:basedOn w:val="HeadingBase"/>
    <w:rsid w:val="00015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B46"/>
    <w:pPr>
      <w:tabs>
        <w:tab w:val="num" w:pos="360"/>
      </w:tabs>
    </w:pPr>
  </w:style>
  <w:style w:type="paragraph" w:styleId="PlainText">
    <w:name w:val="Plain Text"/>
    <w:basedOn w:val="Normal"/>
    <w:link w:val="PlainTextChar"/>
    <w:rsid w:val="00015B46"/>
    <w:rPr>
      <w:sz w:val="20"/>
    </w:rPr>
  </w:style>
  <w:style w:type="character" w:customStyle="1" w:styleId="PlainTextChar">
    <w:name w:val="Plain Text Char"/>
    <w:basedOn w:val="DefaultParagraphFont"/>
    <w:link w:val="PlainText"/>
    <w:rsid w:val="00015B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5B46"/>
    <w:rPr>
      <w:b/>
      <w:smallCaps/>
    </w:rPr>
  </w:style>
  <w:style w:type="paragraph" w:customStyle="1" w:styleId="TableListNumber">
    <w:name w:val="Table List Number"/>
    <w:basedOn w:val="ListNumber"/>
    <w:rsid w:val="00015B46"/>
    <w:pPr>
      <w:numPr>
        <w:numId w:val="0"/>
      </w:numPr>
    </w:pPr>
  </w:style>
  <w:style w:type="paragraph" w:styleId="TOC4">
    <w:name w:val="toc 4"/>
    <w:basedOn w:val="TOCBase"/>
    <w:next w:val="Normal"/>
    <w:semiHidden/>
    <w:rsid w:val="00015B46"/>
    <w:pPr>
      <w:tabs>
        <w:tab w:val="right" w:leader="dot" w:pos="9071"/>
      </w:tabs>
      <w:ind w:left="1701"/>
    </w:pPr>
  </w:style>
  <w:style w:type="paragraph" w:customStyle="1" w:styleId="ListAlpha">
    <w:name w:val="List Alpha"/>
    <w:basedOn w:val="List"/>
    <w:rsid w:val="00015B46"/>
    <w:pPr>
      <w:numPr>
        <w:numId w:val="8"/>
      </w:numPr>
    </w:pPr>
  </w:style>
  <w:style w:type="paragraph" w:customStyle="1" w:styleId="ListAlpha2">
    <w:name w:val="List Alpha 2"/>
    <w:basedOn w:val="List2"/>
    <w:rsid w:val="00015B46"/>
    <w:pPr>
      <w:numPr>
        <w:numId w:val="7"/>
      </w:numPr>
    </w:pPr>
  </w:style>
  <w:style w:type="paragraph" w:styleId="List3">
    <w:name w:val="List 3"/>
    <w:basedOn w:val="BodyText"/>
    <w:rsid w:val="00015B46"/>
    <w:pPr>
      <w:tabs>
        <w:tab w:val="left" w:pos="1021"/>
      </w:tabs>
      <w:spacing w:before="60" w:after="60"/>
      <w:ind w:left="1020" w:hanging="340"/>
    </w:pPr>
  </w:style>
  <w:style w:type="paragraph" w:styleId="List4">
    <w:name w:val="List 4"/>
    <w:basedOn w:val="BodyText"/>
    <w:rsid w:val="00015B46"/>
    <w:pPr>
      <w:tabs>
        <w:tab w:val="left" w:pos="1361"/>
      </w:tabs>
      <w:spacing w:before="60" w:after="60"/>
      <w:ind w:left="1361" w:hanging="340"/>
    </w:pPr>
  </w:style>
  <w:style w:type="paragraph" w:styleId="List5">
    <w:name w:val="List 5"/>
    <w:basedOn w:val="BodyText"/>
    <w:rsid w:val="00015B46"/>
    <w:pPr>
      <w:tabs>
        <w:tab w:val="left" w:pos="1701"/>
      </w:tabs>
      <w:spacing w:before="60" w:after="60"/>
      <w:ind w:left="1701" w:hanging="340"/>
    </w:pPr>
  </w:style>
  <w:style w:type="paragraph" w:styleId="ListBullet3">
    <w:name w:val="List Bullet 3"/>
    <w:basedOn w:val="List3"/>
    <w:rsid w:val="00015B46"/>
    <w:pPr>
      <w:numPr>
        <w:numId w:val="14"/>
      </w:numPr>
      <w:tabs>
        <w:tab w:val="clear" w:pos="1021"/>
      </w:tabs>
      <w:ind w:left="1037" w:hanging="357"/>
    </w:pPr>
  </w:style>
  <w:style w:type="paragraph" w:styleId="ListBullet4">
    <w:name w:val="List Bullet 4"/>
    <w:basedOn w:val="List4"/>
    <w:rsid w:val="00015B46"/>
    <w:pPr>
      <w:numPr>
        <w:numId w:val="2"/>
      </w:numPr>
    </w:pPr>
  </w:style>
  <w:style w:type="paragraph" w:styleId="ListBullet5">
    <w:name w:val="List Bullet 5"/>
    <w:basedOn w:val="List5"/>
    <w:rsid w:val="00015B46"/>
    <w:pPr>
      <w:numPr>
        <w:numId w:val="3"/>
      </w:numPr>
    </w:pPr>
  </w:style>
  <w:style w:type="paragraph" w:styleId="ListContinue2">
    <w:name w:val="List Continue 2"/>
    <w:basedOn w:val="List2"/>
    <w:rsid w:val="00015B46"/>
    <w:pPr>
      <w:ind w:firstLine="0"/>
    </w:pPr>
  </w:style>
  <w:style w:type="paragraph" w:styleId="ListContinue3">
    <w:name w:val="List Continue 3"/>
    <w:basedOn w:val="List3"/>
    <w:rsid w:val="00015B46"/>
    <w:pPr>
      <w:ind w:left="1021" w:firstLine="0"/>
    </w:pPr>
  </w:style>
  <w:style w:type="paragraph" w:styleId="ListContinue4">
    <w:name w:val="List Continue 4"/>
    <w:basedOn w:val="List4"/>
    <w:rsid w:val="00015B46"/>
    <w:pPr>
      <w:ind w:firstLine="0"/>
    </w:pPr>
  </w:style>
  <w:style w:type="paragraph" w:styleId="ListContinue5">
    <w:name w:val="List Continue 5"/>
    <w:basedOn w:val="List5"/>
    <w:rsid w:val="00015B46"/>
    <w:pPr>
      <w:ind w:firstLine="0"/>
    </w:pPr>
  </w:style>
  <w:style w:type="paragraph" w:styleId="ListNumber3">
    <w:name w:val="List Number 3"/>
    <w:basedOn w:val="List3"/>
    <w:rsid w:val="00015B46"/>
    <w:pPr>
      <w:numPr>
        <w:numId w:val="4"/>
      </w:numPr>
    </w:pPr>
  </w:style>
  <w:style w:type="paragraph" w:styleId="ListNumber4">
    <w:name w:val="List Number 4"/>
    <w:basedOn w:val="List4"/>
    <w:rsid w:val="00015B46"/>
    <w:pPr>
      <w:numPr>
        <w:numId w:val="5"/>
      </w:numPr>
    </w:pPr>
  </w:style>
  <w:style w:type="paragraph" w:styleId="ListNumber5">
    <w:name w:val="List Number 5"/>
    <w:basedOn w:val="List5"/>
    <w:rsid w:val="00015B46"/>
    <w:pPr>
      <w:numPr>
        <w:numId w:val="6"/>
      </w:numPr>
    </w:pPr>
  </w:style>
  <w:style w:type="paragraph" w:styleId="BlockText">
    <w:name w:val="Block Text"/>
    <w:basedOn w:val="Normal"/>
    <w:rsid w:val="00015B46"/>
    <w:pPr>
      <w:spacing w:after="120"/>
      <w:ind w:left="1440" w:right="1440"/>
    </w:pPr>
  </w:style>
  <w:style w:type="character" w:customStyle="1" w:styleId="Subscript">
    <w:name w:val="Subscript"/>
    <w:basedOn w:val="DefaultParagraphFont"/>
    <w:rsid w:val="00015B46"/>
    <w:rPr>
      <w:sz w:val="16"/>
      <w:vertAlign w:val="subscript"/>
    </w:rPr>
  </w:style>
  <w:style w:type="character" w:customStyle="1" w:styleId="Superscript">
    <w:name w:val="Superscript"/>
    <w:basedOn w:val="DefaultParagraphFont"/>
    <w:rsid w:val="00015B46"/>
    <w:rPr>
      <w:sz w:val="16"/>
      <w:vertAlign w:val="superscript"/>
    </w:rPr>
  </w:style>
  <w:style w:type="character" w:customStyle="1" w:styleId="Symbols">
    <w:name w:val="Symbols"/>
    <w:basedOn w:val="DefaultParagraphFont"/>
    <w:rsid w:val="00015B46"/>
    <w:rPr>
      <w:rFonts w:ascii="Symbol" w:hAnsi="Symbol"/>
    </w:rPr>
  </w:style>
  <w:style w:type="character" w:customStyle="1" w:styleId="MenuOptions">
    <w:name w:val="Menu Options"/>
    <w:basedOn w:val="DefaultParagraphFont"/>
    <w:rsid w:val="00015B46"/>
    <w:rPr>
      <w:rFonts w:ascii="Arial Narrow" w:hAnsi="Arial Narrow"/>
      <w:smallCaps/>
    </w:rPr>
  </w:style>
  <w:style w:type="character" w:customStyle="1" w:styleId="Buttons">
    <w:name w:val="Buttons"/>
    <w:basedOn w:val="DefaultParagraphFont"/>
    <w:rsid w:val="00015B46"/>
    <w:rPr>
      <w:b/>
    </w:rPr>
  </w:style>
  <w:style w:type="character" w:customStyle="1" w:styleId="Underlined">
    <w:name w:val="Underlined"/>
    <w:basedOn w:val="DefaultParagraphFont"/>
    <w:rsid w:val="00015B46"/>
    <w:rPr>
      <w:u w:val="single"/>
    </w:rPr>
  </w:style>
  <w:style w:type="paragraph" w:customStyle="1" w:styleId="TableBodyTextRight">
    <w:name w:val="Table Body Text Right"/>
    <w:basedOn w:val="TableBodyText"/>
    <w:rsid w:val="00015B46"/>
    <w:pPr>
      <w:widowControl w:val="0"/>
      <w:autoSpaceDE w:val="0"/>
      <w:autoSpaceDN w:val="0"/>
      <w:adjustRightInd w:val="0"/>
      <w:jc w:val="right"/>
    </w:pPr>
    <w:rPr>
      <w:rFonts w:cs="Arial"/>
      <w:szCs w:val="18"/>
    </w:rPr>
  </w:style>
  <w:style w:type="paragraph" w:customStyle="1" w:styleId="CopyrightText">
    <w:name w:val="Copyright Text"/>
    <w:basedOn w:val="BodyText"/>
    <w:rsid w:val="00015B46"/>
    <w:rPr>
      <w:sz w:val="18"/>
    </w:rPr>
  </w:style>
  <w:style w:type="paragraph" w:customStyle="1" w:styleId="BodySmallRight">
    <w:name w:val="Body Small Right"/>
    <w:basedOn w:val="BodyTextRight"/>
    <w:rsid w:val="00015B46"/>
    <w:rPr>
      <w:sz w:val="18"/>
      <w:szCs w:val="18"/>
    </w:rPr>
  </w:style>
  <w:style w:type="paragraph" w:customStyle="1" w:styleId="MarginEdition">
    <w:name w:val="Margin Edition"/>
    <w:basedOn w:val="MarginNote"/>
    <w:rsid w:val="00015B46"/>
    <w:pPr>
      <w:spacing w:before="0" w:after="0"/>
    </w:pPr>
    <w:rPr>
      <w:rFonts w:ascii="Times New Roman" w:hAnsi="Times New Roman"/>
      <w:color w:val="999999"/>
    </w:rPr>
  </w:style>
  <w:style w:type="paragraph" w:customStyle="1" w:styleId="Spacer">
    <w:name w:val="Spacer"/>
    <w:basedOn w:val="Normal"/>
    <w:rsid w:val="00015B46"/>
    <w:rPr>
      <w:sz w:val="2"/>
      <w:szCs w:val="2"/>
    </w:rPr>
  </w:style>
  <w:style w:type="character" w:customStyle="1" w:styleId="Small">
    <w:name w:val="Small"/>
    <w:basedOn w:val="DefaultParagraphFont"/>
    <w:rsid w:val="00015B46"/>
    <w:rPr>
      <w:sz w:val="16"/>
    </w:rPr>
  </w:style>
  <w:style w:type="paragraph" w:customStyle="1" w:styleId="WideTable">
    <w:name w:val="Wide Table"/>
    <w:basedOn w:val="Normal"/>
    <w:rsid w:val="00015B46"/>
    <w:pPr>
      <w:ind w:left="-1418"/>
    </w:pPr>
    <w:rPr>
      <w:sz w:val="2"/>
      <w:szCs w:val="2"/>
    </w:rPr>
  </w:style>
  <w:style w:type="character" w:styleId="PageNumber">
    <w:name w:val="page number"/>
    <w:basedOn w:val="DefaultParagraphFont"/>
    <w:rsid w:val="00015B46"/>
  </w:style>
  <w:style w:type="paragraph" w:styleId="Quote">
    <w:name w:val="Quote"/>
    <w:basedOn w:val="Heading1"/>
    <w:link w:val="QuoteChar"/>
    <w:qFormat/>
    <w:rsid w:val="00015B46"/>
    <w:rPr>
      <w:b w:val="0"/>
      <w:sz w:val="72"/>
      <w:szCs w:val="72"/>
      <w:lang w:val="en-NZ"/>
    </w:rPr>
  </w:style>
  <w:style w:type="character" w:customStyle="1" w:styleId="QuoteChar">
    <w:name w:val="Quote Char"/>
    <w:basedOn w:val="DefaultParagraphFont"/>
    <w:link w:val="Quote"/>
    <w:rsid w:val="00015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B46"/>
    <w:pPr>
      <w:pageBreakBefore/>
    </w:pPr>
  </w:style>
  <w:style w:type="paragraph" w:customStyle="1" w:styleId="Border">
    <w:name w:val="Border"/>
    <w:basedOn w:val="Normal"/>
    <w:qFormat/>
    <w:rsid w:val="00015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B46"/>
    <w:rPr>
      <w:b/>
      <w:bCs/>
      <w:i/>
      <w:iCs/>
      <w:color w:val="auto"/>
    </w:rPr>
  </w:style>
  <w:style w:type="paragraph" w:styleId="IntenseQuote">
    <w:name w:val="Intense Quote"/>
    <w:basedOn w:val="Normal"/>
    <w:next w:val="Normal"/>
    <w:link w:val="IntenseQuoteChar"/>
    <w:uiPriority w:val="30"/>
    <w:qFormat/>
    <w:rsid w:val="00015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B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5B46"/>
    <w:rPr>
      <w:smallCaps/>
      <w:color w:val="auto"/>
      <w:u w:val="single"/>
    </w:rPr>
  </w:style>
  <w:style w:type="character" w:styleId="IntenseReference">
    <w:name w:val="Intense Reference"/>
    <w:basedOn w:val="DefaultParagraphFont"/>
    <w:uiPriority w:val="32"/>
    <w:qFormat/>
    <w:rsid w:val="00015B46"/>
    <w:rPr>
      <w:b/>
      <w:bCs/>
      <w:smallCaps/>
      <w:color w:val="auto"/>
      <w:spacing w:val="5"/>
      <w:u w:val="single"/>
    </w:rPr>
  </w:style>
  <w:style w:type="paragraph" w:customStyle="1" w:styleId="2ColumnHeading">
    <w:name w:val="2Column Heading"/>
    <w:basedOn w:val="BodyText"/>
    <w:qFormat/>
    <w:rsid w:val="00015B46"/>
    <w:pPr>
      <w:spacing w:after="60"/>
      <w:ind w:left="-2268"/>
    </w:pPr>
    <w:rPr>
      <w:b/>
    </w:rPr>
  </w:style>
  <w:style w:type="paragraph" w:customStyle="1" w:styleId="Heading1TOC">
    <w:name w:val="Heading1 TOC"/>
    <w:basedOn w:val="Normal"/>
    <w:qFormat/>
    <w:rsid w:val="00015B46"/>
    <w:pPr>
      <w:spacing w:before="240" w:after="120"/>
    </w:pPr>
    <w:rPr>
      <w:rFonts w:ascii="Times New Roman" w:hAnsi="Times New Roman"/>
      <w:b/>
      <w:sz w:val="32"/>
    </w:rPr>
  </w:style>
  <w:style w:type="paragraph" w:customStyle="1" w:styleId="Heading2TOC">
    <w:name w:val="Heading2 TOC"/>
    <w:basedOn w:val="Normal"/>
    <w:qFormat/>
    <w:rsid w:val="00015B46"/>
    <w:pPr>
      <w:spacing w:before="240" w:after="60"/>
    </w:pPr>
    <w:rPr>
      <w:rFonts w:ascii="Times New Roman" w:hAnsi="Times New Roman"/>
      <w:b/>
      <w:sz w:val="28"/>
    </w:rPr>
  </w:style>
  <w:style w:type="character" w:customStyle="1" w:styleId="Underline">
    <w:name w:val="Underline"/>
    <w:basedOn w:val="DefaultParagraphFont"/>
    <w:qFormat/>
    <w:rsid w:val="00015B46"/>
    <w:rPr>
      <w:u w:val="single"/>
    </w:rPr>
  </w:style>
  <w:style w:type="character" w:customStyle="1" w:styleId="BoldandItalics">
    <w:name w:val="Bold and Italics"/>
    <w:qFormat/>
    <w:rsid w:val="00015B46"/>
    <w:rPr>
      <w:b/>
      <w:i/>
      <w:u w:val="none"/>
    </w:rPr>
  </w:style>
  <w:style w:type="paragraph" w:styleId="BalloonText">
    <w:name w:val="Balloon Text"/>
    <w:basedOn w:val="Normal"/>
    <w:link w:val="BalloonTextChar"/>
    <w:rsid w:val="00015B46"/>
    <w:rPr>
      <w:rFonts w:ascii="Tahoma" w:hAnsi="Tahoma" w:cs="Tahoma"/>
      <w:sz w:val="16"/>
      <w:szCs w:val="16"/>
    </w:rPr>
  </w:style>
  <w:style w:type="character" w:customStyle="1" w:styleId="BalloonTextChar">
    <w:name w:val="Balloon Text Char"/>
    <w:basedOn w:val="DefaultParagraphFont"/>
    <w:link w:val="BalloonText"/>
    <w:rsid w:val="00015B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5B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5B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847</Words>
  <Characters>5414</Characters>
  <Application>Microsoft Office Word</Application>
  <DocSecurity>0</DocSecurity>
  <Lines>196</Lines>
  <Paragraphs>80</Paragraphs>
  <ScaleCrop>false</ScaleCrop>
  <Company>Author-it Software Corporation Ltd.</Company>
  <LinksUpToDate>false</LinksUpToDate>
  <CharactersWithSpaces>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AHCEXP301A Handle and store explosives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2012-05-26T12:51:00Z</dcterms:created>
  <dcterms:modified xsi:type="dcterms:W3CDTF">2012-05-26T12:51:00Z</dcterms:modified>
</cp:coreProperties>
</file>