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624" w:rsidP="009E4624">
      <w:pPr>
        <w:pStyle w:val="Title"/>
      </w:pPr>
      <w:r>
        <w:fldChar w:fldCharType="begin"/>
      </w:r>
      <w:r>
        <w:instrText xml:space="preserve"> TITLE   \* MERGEFORMAT </w:instrText>
      </w:r>
      <w:r>
        <w:fldChar w:fldCharType="separate"/>
      </w:r>
      <w:r>
        <w:t>AHCCHM401A Minimise risks in the use of chemicals</w:t>
      </w:r>
      <w:r>
        <w:fldChar w:fldCharType="end"/>
      </w:r>
    </w:p>
    <w:p w:rsidR="009E4624" w:rsidP="009E4624">
      <w:pPr>
        <w:pStyle w:val="Version"/>
        <w:sectPr w:rsidSect="007C06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677" w:rsidP="007C0677">
      <w:pPr>
        <w:pStyle w:val="SuperHeading"/>
      </w:pPr>
      <w:r w:rsidRPr="007C0677">
        <w:t>AHCCHM401A Minimise risks in the use of chemicals</w:t>
      </w:r>
    </w:p>
    <w:p w:rsidR="00000000" w:rsidRPr="007C0677" w:rsidP="007C0677">
      <w:pPr>
        <w:pStyle w:val="Heading1"/>
      </w:pPr>
      <w:bookmarkStart w:id="1" w:name="O_267765"/>
      <w:bookmarkEnd w:id="1"/>
      <w:r w:rsidRPr="007C0677">
        <w:t>Modification History</w:t>
      </w:r>
    </w:p>
    <w:p w:rsidR="00000000" w:rsidRPr="007C0677" w:rsidP="007C0677">
      <w:pPr>
        <w:pStyle w:val="BodyText"/>
      </w:pPr>
      <w:r w:rsidRPr="007C0677">
        <w:t>Not Applicable</w:t>
      </w:r>
    </w:p>
    <w:p w:rsidR="00000000" w:rsidRPr="007C0677" w:rsidP="007C0677">
      <w:pPr>
        <w:pStyle w:val="AllowPageBreak"/>
      </w:pPr>
    </w:p>
    <w:p w:rsidR="00000000" w:rsidRPr="007C0677" w:rsidP="007C0677">
      <w:pPr>
        <w:pStyle w:val="Heading1"/>
      </w:pPr>
      <w:bookmarkStart w:id="2" w:name="O_187498"/>
      <w:bookmarkEnd w:id="2"/>
      <w:r w:rsidRPr="007C0677">
        <w:t>Unit Descriptor</w:t>
      </w:r>
    </w:p>
    <w:tbl>
      <w:tblPr>
        <w:tblW w:w="0" w:type="auto"/>
        <w:tblLayout w:type="fixed"/>
        <w:tblCellMar>
          <w:left w:w="62" w:type="dxa"/>
          <w:right w:w="62" w:type="dxa"/>
        </w:tblCellMar>
        <w:tblLook w:val="0000"/>
      </w:tblPr>
      <w:tblGrid>
        <w:gridCol w:w="2672"/>
        <w:gridCol w:w="5850"/>
      </w:tblGrid>
      <w:tr w:rsidTr="009E4624">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This unit covers minimising risks in the use of chemicals and defines the standard required to:  impl</w:t>
            </w:r>
            <w:r w:rsidRPr="007C0677">
              <w:t>ement, monitor and evaluate a chemical risk control strategy;  identify potential hazards and assess risks;  develop risk control procedures;  and monitor and evaluate the risk control strategy.</w:t>
            </w:r>
          </w:p>
        </w:tc>
      </w:tr>
    </w:tbl>
    <w:p w:rsidR="009E4624" w:rsidP="007C0677">
      <w:pPr>
        <w:pStyle w:val="BodyText"/>
      </w:pPr>
    </w:p>
    <w:p w:rsidR="009E4624" w:rsidP="007C0677">
      <w:pPr>
        <w:pStyle w:val="BodyText"/>
      </w:pPr>
    </w:p>
    <w:p w:rsidR="00000000" w:rsidRPr="007C0677" w:rsidP="007C0677">
      <w:pPr>
        <w:pStyle w:val="Heading1"/>
      </w:pPr>
      <w:bookmarkStart w:id="3" w:name="O_187502"/>
      <w:bookmarkEnd w:id="3"/>
      <w:r w:rsidRPr="007C0677">
        <w:t>Application of the Unit</w:t>
      </w:r>
    </w:p>
    <w:tbl>
      <w:tblPr>
        <w:tblW w:w="0" w:type="auto"/>
        <w:tblLayout w:type="fixed"/>
        <w:tblCellMar>
          <w:left w:w="62" w:type="dxa"/>
          <w:right w:w="62" w:type="dxa"/>
        </w:tblCellMar>
        <w:tblLook w:val="0000"/>
      </w:tblPr>
      <w:tblGrid>
        <w:gridCol w:w="2755"/>
        <w:gridCol w:w="5767"/>
      </w:tblGrid>
      <w:tr w:rsidTr="009E462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 xml:space="preserve">This unit applies to those whose job role include the assessment and mitigation of risks associated with the use of chemicals across a range of industry sectors.  This unit may be deemed to have a time limit when used as part of an </w:t>
            </w:r>
            <w:r w:rsidRPr="007C0677">
              <w:t>accreditation or licence process.</w:t>
            </w:r>
          </w:p>
        </w:tc>
      </w:tr>
    </w:tbl>
    <w:p w:rsidR="009E4624" w:rsidP="007C0677">
      <w:pPr>
        <w:pStyle w:val="BodyText"/>
      </w:pPr>
    </w:p>
    <w:p w:rsidR="009E4624" w:rsidP="007C0677">
      <w:pPr>
        <w:pStyle w:val="BodyText"/>
      </w:pPr>
    </w:p>
    <w:p w:rsidR="00000000" w:rsidRPr="007C0677" w:rsidP="007C0677">
      <w:pPr>
        <w:pStyle w:val="Heading1"/>
      </w:pPr>
      <w:bookmarkStart w:id="4" w:name="O_276025"/>
      <w:bookmarkEnd w:id="4"/>
      <w:r w:rsidRPr="007C0677">
        <w:t>Licensing/Regulatory Information</w:t>
      </w:r>
    </w:p>
    <w:p w:rsidR="00000000" w:rsidRPr="007C0677" w:rsidP="007C0677">
      <w:pPr>
        <w:pStyle w:val="BodyText"/>
      </w:pPr>
      <w:r w:rsidRPr="007C0677">
        <w:t>Not Applicable</w:t>
      </w:r>
    </w:p>
    <w:p w:rsidR="00000000" w:rsidRPr="007C0677" w:rsidP="007C0677">
      <w:pPr>
        <w:pStyle w:val="AllowPageBreak"/>
      </w:pPr>
    </w:p>
    <w:p w:rsidR="00000000" w:rsidRPr="007C0677" w:rsidP="007C0677">
      <w:pPr>
        <w:pStyle w:val="Heading1"/>
      </w:pPr>
      <w:bookmarkStart w:id="5" w:name="O_187500"/>
      <w:bookmarkEnd w:id="5"/>
      <w:r w:rsidRPr="007C0677">
        <w:t>Pre-Requisites</w:t>
      </w:r>
    </w:p>
    <w:tbl>
      <w:tblPr>
        <w:tblW w:w="0" w:type="auto"/>
        <w:tblLayout w:type="fixed"/>
        <w:tblCellMar>
          <w:left w:w="62" w:type="dxa"/>
          <w:right w:w="62" w:type="dxa"/>
        </w:tblCellMar>
        <w:tblLook w:val="0000"/>
      </w:tblPr>
      <w:tblGrid>
        <w:gridCol w:w="2775"/>
        <w:gridCol w:w="1295"/>
        <w:gridCol w:w="4452"/>
      </w:tblGrid>
      <w:tr w:rsidTr="009E46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p>
        </w:tc>
      </w:tr>
    </w:tbl>
    <w:p w:rsidR="009E4624" w:rsidP="007C0677">
      <w:pPr>
        <w:pStyle w:val="BodyText"/>
      </w:pPr>
    </w:p>
    <w:p w:rsidR="009E4624" w:rsidP="007C0677">
      <w:pPr>
        <w:pStyle w:val="BodyText"/>
      </w:pPr>
    </w:p>
    <w:p w:rsidR="00000000" w:rsidRPr="007C0677" w:rsidP="007C0677">
      <w:pPr>
        <w:pStyle w:val="Heading1"/>
      </w:pPr>
      <w:bookmarkStart w:id="6" w:name="O_187499"/>
      <w:bookmarkEnd w:id="6"/>
      <w:r w:rsidRPr="007C0677">
        <w:t>Employability Skills Information</w:t>
      </w:r>
    </w:p>
    <w:tbl>
      <w:tblPr>
        <w:tblW w:w="0" w:type="auto"/>
        <w:tblLayout w:type="fixed"/>
        <w:tblCellMar>
          <w:left w:w="62" w:type="dxa"/>
          <w:right w:w="62" w:type="dxa"/>
        </w:tblCellMar>
        <w:tblLook w:val="0000"/>
      </w:tblPr>
      <w:tblGrid>
        <w:gridCol w:w="2802"/>
        <w:gridCol w:w="5720"/>
      </w:tblGrid>
      <w:tr w:rsidTr="009E46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This unit contains employability skills.</w:t>
            </w:r>
          </w:p>
        </w:tc>
      </w:tr>
    </w:tbl>
    <w:p w:rsidR="009E4624" w:rsidP="007C0677">
      <w:pPr>
        <w:pStyle w:val="BodyText"/>
      </w:pPr>
    </w:p>
    <w:p w:rsidR="009E4624" w:rsidP="007C0677">
      <w:pPr>
        <w:pStyle w:val="BodyText"/>
      </w:pPr>
    </w:p>
    <w:p w:rsidR="00000000" w:rsidRPr="007C0677" w:rsidP="007C0677">
      <w:pPr>
        <w:pStyle w:val="Heading1"/>
      </w:pPr>
      <w:bookmarkStart w:id="7" w:name="O_285811"/>
      <w:bookmarkEnd w:id="7"/>
      <w:r w:rsidRPr="007C0677">
        <w:t>Elements and Performance Criteria Pre-Content</w:t>
      </w:r>
    </w:p>
    <w:p w:rsidR="00000000" w:rsidRPr="007C0677" w:rsidP="007C0677">
      <w:pPr>
        <w:pStyle w:val="BodyText"/>
      </w:pPr>
      <w:r w:rsidRPr="007C0677">
        <w:t>Not Applicable</w:t>
      </w:r>
    </w:p>
    <w:p w:rsidR="00000000" w:rsidRPr="007C0677" w:rsidP="007C0677">
      <w:pPr>
        <w:pStyle w:val="AllowPageBreak"/>
      </w:pPr>
    </w:p>
    <w:p w:rsidR="00000000" w:rsidRPr="007C0677" w:rsidP="007C0677">
      <w:pPr>
        <w:pStyle w:val="Heading1"/>
      </w:pPr>
      <w:bookmarkStart w:id="8" w:name="O_232478"/>
      <w:bookmarkEnd w:id="8"/>
      <w:r w:rsidRPr="007C0677">
        <w:t>Elements and Performance Criteria</w:t>
      </w:r>
    </w:p>
    <w:tbl>
      <w:tblPr>
        <w:tblW w:w="0" w:type="auto"/>
        <w:tblLayout w:type="fixed"/>
        <w:tblCellMar>
          <w:left w:w="62" w:type="dxa"/>
          <w:right w:w="62" w:type="dxa"/>
        </w:tblCellMar>
        <w:tblLook w:val="0000"/>
      </w:tblPr>
      <w:tblGrid>
        <w:gridCol w:w="2576"/>
        <w:gridCol w:w="5946"/>
      </w:tblGrid>
      <w:tr w:rsidTr="009E4624">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PERFORMANCE CRITERIA</w:t>
            </w:r>
          </w:p>
        </w:tc>
      </w:tr>
      <w:tr w:rsidTr="009E46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List"/>
              <w:rPr>
                <w:lang w:val="en-NZ"/>
              </w:rPr>
            </w:pPr>
            <w:r w:rsidRPr="007C0677">
              <w:t>1.</w:t>
            </w:r>
            <w:r w:rsidRPr="007C0677">
              <w:tab/>
              <w:t>Identify hazards and risks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2"/>
            </w:pPr>
            <w:r w:rsidRPr="007C0677">
              <w:t>1.1.</w:t>
            </w:r>
            <w:r w:rsidRPr="007C0677">
              <w:tab/>
            </w:r>
            <w:r w:rsidRPr="007C0677">
              <w:t>Guidelines, legislation, regulations and industry requirements relating to chemical use are identified and sourced.</w:t>
            </w:r>
          </w:p>
          <w:p w:rsidR="00000000" w:rsidP="007C0677">
            <w:pPr>
              <w:pStyle w:val="List2"/>
              <w:rPr>
                <w:lang w:val="en-NZ"/>
              </w:rPr>
            </w:pPr>
            <w:r w:rsidRPr="007C0677">
              <w:t>1.2.</w:t>
            </w:r>
            <w:r w:rsidRPr="007C0677">
              <w:tab/>
              <w:t>Hazards involved in chemical handling and application are identified.</w:t>
            </w:r>
          </w:p>
        </w:tc>
      </w:tr>
      <w:tr w:rsidTr="009E46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List"/>
              <w:rPr>
                <w:lang w:val="en-NZ"/>
              </w:rPr>
            </w:pPr>
            <w:r w:rsidRPr="007C0677">
              <w:t>2.</w:t>
            </w:r>
            <w:r w:rsidRPr="007C0677">
              <w:tab/>
              <w:t>Assess risks and develop control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2"/>
            </w:pPr>
            <w:r w:rsidRPr="007C0677">
              <w:t>2.1.</w:t>
            </w:r>
            <w:r w:rsidRPr="007C0677">
              <w:tab/>
              <w:t>Risks associ</w:t>
            </w:r>
            <w:r w:rsidRPr="007C0677">
              <w:t>ated with chemicals used are assessed.</w:t>
            </w:r>
          </w:p>
          <w:p w:rsidR="00000000" w:rsidRPr="007C0677" w:rsidP="007C0677">
            <w:pPr>
              <w:pStyle w:val="List2"/>
            </w:pPr>
            <w:r w:rsidRPr="007C0677">
              <w:t>2.2.</w:t>
            </w:r>
            <w:r w:rsidRPr="007C0677">
              <w:tab/>
              <w:t>Risk control measures and emergency action plans are developed.</w:t>
            </w:r>
          </w:p>
          <w:p w:rsidR="00000000" w:rsidRPr="007C0677" w:rsidP="007C0677">
            <w:pPr>
              <w:pStyle w:val="List2"/>
            </w:pPr>
            <w:r w:rsidRPr="007C0677">
              <w:t>2.3.</w:t>
            </w:r>
            <w:r w:rsidRPr="007C0677">
              <w:tab/>
              <w:t>Control procedures are developed for transport, handling, storage, application, decontamination and disposal.</w:t>
            </w:r>
          </w:p>
          <w:p w:rsidR="00000000" w:rsidP="007C0677">
            <w:pPr>
              <w:pStyle w:val="List2"/>
              <w:rPr>
                <w:lang w:val="en-NZ"/>
              </w:rPr>
            </w:pPr>
            <w:r w:rsidRPr="007C0677">
              <w:t>2.4.</w:t>
            </w:r>
            <w:r w:rsidRPr="007C0677">
              <w:tab/>
              <w:t>A continuous improvement str</w:t>
            </w:r>
            <w:r w:rsidRPr="007C0677">
              <w:t>ategy is developed to minimise risk.</w:t>
            </w:r>
          </w:p>
        </w:tc>
      </w:tr>
      <w:tr w:rsidTr="009E46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List"/>
              <w:rPr>
                <w:lang w:val="en-NZ"/>
              </w:rPr>
            </w:pPr>
            <w:r w:rsidRPr="007C0677">
              <w:t>3.</w:t>
            </w:r>
            <w:r w:rsidRPr="007C0677">
              <w:tab/>
              <w:t>Implement and monitor adherence to chemical risk procedures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2"/>
            </w:pPr>
            <w:r w:rsidRPr="007C0677">
              <w:t>3.1.</w:t>
            </w:r>
            <w:r w:rsidRPr="007C0677">
              <w:tab/>
              <w:t>Appropriate personal protective equipment (PPE) is provided for people in the workplace using chemicals.</w:t>
            </w:r>
          </w:p>
          <w:p w:rsidR="00000000" w:rsidRPr="007C0677" w:rsidP="007C0677">
            <w:pPr>
              <w:pStyle w:val="List2"/>
            </w:pPr>
            <w:r w:rsidRPr="007C0677">
              <w:t>3.2.</w:t>
            </w:r>
            <w:r w:rsidRPr="007C0677">
              <w:tab/>
              <w:t>Select application equipment is selected</w:t>
            </w:r>
            <w:r w:rsidRPr="007C0677">
              <w:t xml:space="preserve"> according to procedures.</w:t>
            </w:r>
          </w:p>
          <w:p w:rsidR="00000000" w:rsidRPr="007C0677" w:rsidP="007C0677">
            <w:pPr>
              <w:pStyle w:val="List2"/>
            </w:pPr>
            <w:r w:rsidRPr="007C0677">
              <w:t>3.3.</w:t>
            </w:r>
            <w:r w:rsidRPr="007C0677">
              <w:tab/>
              <w:t>Restrictions on chemical use, application, decontamination and disposal are followed according to procedures.</w:t>
            </w:r>
          </w:p>
          <w:p w:rsidR="00000000" w:rsidP="007C0677">
            <w:pPr>
              <w:pStyle w:val="List2"/>
              <w:rPr>
                <w:lang w:val="en-NZ"/>
              </w:rPr>
            </w:pPr>
            <w:r w:rsidRPr="007C0677">
              <w:t>3.4.</w:t>
            </w:r>
            <w:r w:rsidRPr="007C0677">
              <w:tab/>
              <w:t>Risk control procedures are followed in the workplace.</w:t>
            </w:r>
          </w:p>
        </w:tc>
      </w:tr>
      <w:tr w:rsidTr="009E462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List"/>
              <w:rPr>
                <w:lang w:val="en-NZ"/>
              </w:rPr>
            </w:pPr>
            <w:r w:rsidRPr="007C0677">
              <w:t>4.</w:t>
            </w:r>
            <w:r w:rsidRPr="007C0677">
              <w:tab/>
              <w:t>Evaluate risk control measures and maintain record</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2"/>
            </w:pPr>
            <w:r w:rsidRPr="007C0677">
              <w:t>4.1.</w:t>
            </w:r>
            <w:r w:rsidRPr="007C0677">
              <w:tab/>
              <w:t>Procedures for evaluating the effectiveness of risk control measures are developed.</w:t>
            </w:r>
          </w:p>
          <w:p w:rsidR="00000000" w:rsidRPr="007C0677" w:rsidP="007C0677">
            <w:pPr>
              <w:pStyle w:val="List2"/>
            </w:pPr>
            <w:r w:rsidRPr="007C0677">
              <w:t>4.2.</w:t>
            </w:r>
            <w:r w:rsidRPr="007C0677">
              <w:tab/>
              <w:t>Shortfalls identified during evaluation are addressed and rectified.</w:t>
            </w:r>
          </w:p>
          <w:p w:rsidR="00000000" w:rsidRPr="007C0677" w:rsidP="007C0677">
            <w:pPr>
              <w:pStyle w:val="List2"/>
            </w:pPr>
            <w:r w:rsidRPr="007C0677">
              <w:t>4.3.</w:t>
            </w:r>
            <w:r w:rsidRPr="007C0677">
              <w:tab/>
              <w:t>Risk assessment records are maintained according to industry, label, legislative and reg</w:t>
            </w:r>
            <w:r w:rsidRPr="007C0677">
              <w:t>ulatory requirements.</w:t>
            </w:r>
          </w:p>
        </w:tc>
      </w:tr>
    </w:tbl>
    <w:p w:rsidR="009E4624" w:rsidP="007C0677">
      <w:pPr>
        <w:pStyle w:val="BodyText"/>
      </w:pPr>
    </w:p>
    <w:p w:rsidR="009E4624" w:rsidP="007C0677">
      <w:pPr>
        <w:pStyle w:val="BodyText"/>
      </w:pPr>
    </w:p>
    <w:p w:rsidR="00000000" w:rsidRPr="007C0677" w:rsidP="007C0677">
      <w:pPr>
        <w:pStyle w:val="Heading1"/>
      </w:pPr>
      <w:bookmarkStart w:id="9" w:name="O_256428"/>
      <w:bookmarkEnd w:id="9"/>
      <w:r w:rsidRPr="007C0677">
        <w:t>Required Skills and Knowledge</w:t>
      </w:r>
    </w:p>
    <w:tbl>
      <w:tblPr>
        <w:tblW w:w="0" w:type="auto"/>
        <w:tblLayout w:type="fixed"/>
        <w:tblCellMar>
          <w:left w:w="62" w:type="dxa"/>
          <w:right w:w="62" w:type="dxa"/>
        </w:tblCellMar>
        <w:tblLook w:val="0000"/>
      </w:tblPr>
      <w:tblGrid>
        <w:gridCol w:w="8522"/>
      </w:tblGrid>
      <w:tr w:rsidTr="009E46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REQUIRED SKILLS AND KNOWLEDGE</w:t>
            </w:r>
          </w:p>
        </w:tc>
      </w:tr>
      <w:tr w:rsidTr="009E46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t>This section describes the skills and knowledge required for this unit.</w:t>
            </w:r>
          </w:p>
        </w:tc>
      </w:tr>
      <w:tr w:rsidTr="009E4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Required skills</w:t>
            </w:r>
          </w:p>
        </w:tc>
      </w:tr>
      <w:tr w:rsidTr="009E4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Bullet"/>
            </w:pPr>
            <w:r w:rsidRPr="007C0677">
              <w:t>develop procedures</w:t>
            </w:r>
          </w:p>
          <w:p w:rsidR="00000000" w:rsidRPr="007C0677" w:rsidP="007C0677">
            <w:pPr>
              <w:pStyle w:val="ListBullet"/>
            </w:pPr>
            <w:r w:rsidRPr="007C0677">
              <w:t>evaluate implementation</w:t>
            </w:r>
          </w:p>
          <w:p w:rsidR="00000000" w:rsidRPr="007C0677" w:rsidP="007C0677">
            <w:pPr>
              <w:pStyle w:val="ListBullet"/>
            </w:pPr>
            <w:r w:rsidRPr="007C0677">
              <w:t>identify hazards, assess risks, and implement and monitor risk control procedures</w:t>
            </w:r>
          </w:p>
          <w:p w:rsidR="00000000" w:rsidRPr="007C0677" w:rsidP="007C0677">
            <w:pPr>
              <w:pStyle w:val="ListBullet"/>
            </w:pPr>
            <w:r w:rsidRPr="007C0677">
              <w:t xml:space="preserve">use literacy skills to read, interpret and follow organisational policies and procedures, develop sequenced written instructions, record information collected accurately and </w:t>
            </w:r>
            <w:r w:rsidRPr="007C0677">
              <w:t>legibly, and select and apply procedures to a range of tasks</w:t>
            </w:r>
          </w:p>
          <w:p w:rsidR="00000000" w:rsidRPr="007C0677" w:rsidP="007C0677">
            <w:pPr>
              <w:pStyle w:val="ListBullet"/>
            </w:pPr>
            <w:r w:rsidRPr="007C0677">
              <w:t>use oral communication skills/language competence to fulfil the job role as specified by the organisation, including questioning, active listening, asking for clarification, negotiating solutions</w:t>
            </w:r>
            <w:r w:rsidRPr="007C0677">
              <w:t xml:space="preserve"> and responding to a range of views</w:t>
            </w:r>
          </w:p>
          <w:p w:rsidR="00000000" w:rsidRPr="007C0677" w:rsidP="007C0677">
            <w:pPr>
              <w:pStyle w:val="ListBullet"/>
            </w:pPr>
            <w:r w:rsidRPr="007C0677">
              <w:t>use numeracy skills to estimate, calculate and record routine and more complex workplace measures and data</w:t>
            </w:r>
          </w:p>
          <w:p w:rsidR="00000000" w:rsidP="007C0677">
            <w:pPr>
              <w:pStyle w:val="ListBullet"/>
              <w:rPr>
                <w:lang w:val="en-NZ"/>
              </w:rPr>
            </w:pPr>
            <w:r w:rsidRPr="007C0677">
              <w:t xml:space="preserve">use interpersonal skills to work with others and relate to people from a range of cultural, social and religious </w:t>
            </w:r>
            <w:r w:rsidRPr="007C0677">
              <w:t>backgrounds and with a range of physical and mental abilities.</w:t>
            </w:r>
          </w:p>
        </w:tc>
      </w:tr>
      <w:tr w:rsidTr="009E4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Required knowledge</w:t>
            </w:r>
          </w:p>
        </w:tc>
      </w:tr>
      <w:tr w:rsidTr="009E46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Bullet"/>
            </w:pPr>
            <w:r w:rsidRPr="007C0677">
              <w:t xml:space="preserve">sources of information relating to chemical use, including: </w:t>
            </w:r>
          </w:p>
          <w:p w:rsidR="00000000" w:rsidRPr="007C0677" w:rsidP="007C0677">
            <w:pPr>
              <w:pStyle w:val="ListBullet2"/>
            </w:pPr>
            <w:r w:rsidRPr="007C0677">
              <w:t>guidelines</w:t>
            </w:r>
          </w:p>
          <w:p w:rsidR="00000000" w:rsidRPr="007C0677" w:rsidP="007C0677">
            <w:pPr>
              <w:pStyle w:val="ListBullet2"/>
            </w:pPr>
            <w:r w:rsidRPr="007C0677">
              <w:t>legislation and regulations</w:t>
            </w:r>
          </w:p>
          <w:p w:rsidR="00000000" w:rsidRPr="007C0677" w:rsidP="007C0677">
            <w:pPr>
              <w:pStyle w:val="ListBullet2"/>
            </w:pPr>
            <w:r w:rsidRPr="007C0677">
              <w:t>industry requirements</w:t>
            </w:r>
          </w:p>
          <w:p w:rsidR="00000000" w:rsidRPr="007C0677" w:rsidP="007C0677">
            <w:pPr>
              <w:pStyle w:val="ListBullet"/>
            </w:pPr>
            <w:r w:rsidRPr="007C0677">
              <w:t>hazard identification and risk assessment strategies</w:t>
            </w:r>
          </w:p>
          <w:p w:rsidR="00000000" w:rsidRPr="007C0677" w:rsidP="007C0677">
            <w:pPr>
              <w:pStyle w:val="ListBullet"/>
            </w:pPr>
            <w:r w:rsidRPr="007C0677">
              <w:t>risk factors, including human and animal health, product integrity, weather, spray drift, spillage and environmental</w:t>
            </w:r>
          </w:p>
          <w:p w:rsidR="00000000" w:rsidRPr="007C0677" w:rsidP="007C0677">
            <w:pPr>
              <w:pStyle w:val="ListBullet"/>
            </w:pPr>
            <w:r w:rsidRPr="007C0677">
              <w:t>principles of transport, handling and storage for chemicals</w:t>
            </w:r>
          </w:p>
          <w:p w:rsidR="00000000" w:rsidRPr="007C0677" w:rsidP="007C0677">
            <w:pPr>
              <w:pStyle w:val="ListBullet"/>
            </w:pPr>
            <w:r w:rsidRPr="007C0677">
              <w:t xml:space="preserve">requirements for disposal </w:t>
            </w:r>
            <w:r w:rsidRPr="007C0677">
              <w:t>of excess chemicals, clearing spillages and equipment clean up</w:t>
            </w:r>
          </w:p>
          <w:p w:rsidR="00000000" w:rsidRPr="007C0677" w:rsidP="007C0677">
            <w:pPr>
              <w:pStyle w:val="ListBullet"/>
            </w:pPr>
            <w:r w:rsidRPr="007C0677">
              <w:t>chemical application equipment capabilities and limitations.</w:t>
            </w:r>
          </w:p>
        </w:tc>
      </w:tr>
    </w:tbl>
    <w:p w:rsidR="009E4624" w:rsidP="007C0677">
      <w:pPr>
        <w:pStyle w:val="BodyText"/>
      </w:pPr>
    </w:p>
    <w:p w:rsidR="009E4624" w:rsidP="007C0677">
      <w:pPr>
        <w:pStyle w:val="BodyText"/>
      </w:pPr>
    </w:p>
    <w:p w:rsidR="00000000" w:rsidRPr="007C0677" w:rsidP="007C0677">
      <w:pPr>
        <w:pStyle w:val="AllowPageBreak"/>
      </w:pPr>
    </w:p>
    <w:p w:rsidR="00000000" w:rsidRPr="007C0677" w:rsidP="007C0677">
      <w:pPr>
        <w:pStyle w:val="Heading1"/>
      </w:pPr>
      <w:bookmarkStart w:id="10" w:name="O_240462"/>
      <w:bookmarkEnd w:id="10"/>
      <w:r w:rsidRPr="007C0677">
        <w:t>Evidence Guide</w:t>
      </w:r>
    </w:p>
    <w:tbl>
      <w:tblPr>
        <w:tblW w:w="9570" w:type="dxa"/>
        <w:tblLayout w:type="fixed"/>
        <w:tblCellMar>
          <w:left w:w="62" w:type="dxa"/>
          <w:right w:w="62" w:type="dxa"/>
        </w:tblCellMar>
        <w:tblLook w:val="0000"/>
      </w:tblPr>
      <w:tblGrid>
        <w:gridCol w:w="3908"/>
        <w:gridCol w:w="5662"/>
      </w:tblGrid>
      <w:tr w:rsidTr="009E46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EVIDENCE GUIDE</w:t>
            </w:r>
          </w:p>
        </w:tc>
      </w:tr>
      <w:tr w:rsidTr="009E46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t>The evidence guide provides advice on assessment and must be read in conjunction with the performance criteria, required skills and knowledge, range statement and the Assessment Guidelines for the Training Package.</w:t>
            </w:r>
          </w:p>
        </w:tc>
      </w:tr>
      <w:tr w:rsidTr="009E4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Critical aspec</w:t>
            </w:r>
            <w:r w:rsidRPr="007C067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The evidence required to demonstrate competency in this unit must be relevant to workplace operations and satisfy holistically all of the requirements of the performance criteri</w:t>
            </w:r>
            <w:r w:rsidRPr="007C0677">
              <w:t xml:space="preserve">a and required skills and knowledge and include achievement of the following: </w:t>
            </w:r>
          </w:p>
          <w:p w:rsidR="00000000" w:rsidRPr="007C0677" w:rsidP="007C0677">
            <w:pPr>
              <w:pStyle w:val="ListBullet"/>
            </w:pPr>
            <w:r w:rsidRPr="007C0677">
              <w:t>implement, monitor and evaluate a chemical risk control strategy</w:t>
            </w:r>
          </w:p>
          <w:p w:rsidR="00000000" w:rsidRPr="007C0677" w:rsidP="007C0677">
            <w:pPr>
              <w:pStyle w:val="ListBullet"/>
            </w:pPr>
            <w:r w:rsidRPr="007C0677">
              <w:t>identify potential hazards and assess risks</w:t>
            </w:r>
          </w:p>
          <w:p w:rsidR="00000000" w:rsidRPr="007C0677" w:rsidP="007C0677">
            <w:pPr>
              <w:pStyle w:val="ListBullet"/>
            </w:pPr>
            <w:r w:rsidRPr="007C0677">
              <w:t>develop risk control procedures</w:t>
            </w:r>
          </w:p>
          <w:p w:rsidR="00000000" w:rsidP="007C0677">
            <w:pPr>
              <w:pStyle w:val="ListBullet"/>
              <w:rPr>
                <w:lang w:val="en-NZ"/>
              </w:rPr>
            </w:pPr>
            <w:r w:rsidRPr="007C0677">
              <w:t>monitor and evaluate the risk control strategy.</w:t>
            </w:r>
          </w:p>
        </w:tc>
      </w:tr>
      <w:tr w:rsidTr="009E46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Competency requires the application of work practices under work conditions.  Selection and use of resources for some worksites may differ due to the regional</w:t>
            </w:r>
            <w:r w:rsidRPr="007C0677">
              <w:t xml:space="preserve"> or enterprise circumstances.</w:t>
            </w:r>
          </w:p>
        </w:tc>
      </w:tr>
    </w:tbl>
    <w:p w:rsidR="009E4624" w:rsidP="007C0677">
      <w:pPr>
        <w:pStyle w:val="BodyText"/>
      </w:pPr>
    </w:p>
    <w:p w:rsidR="009E4624" w:rsidP="007C0677">
      <w:pPr>
        <w:pStyle w:val="BodyText"/>
      </w:pPr>
    </w:p>
    <w:p w:rsidR="00000000" w:rsidRPr="007C0677" w:rsidP="007C0677">
      <w:pPr>
        <w:pStyle w:val="Heading1"/>
      </w:pPr>
      <w:bookmarkStart w:id="11" w:name="O_248445"/>
      <w:bookmarkEnd w:id="11"/>
      <w:r w:rsidRPr="007C0677">
        <w:t>Range Statement</w:t>
      </w:r>
    </w:p>
    <w:tbl>
      <w:tblPr>
        <w:tblW w:w="0" w:type="auto"/>
        <w:tblLayout w:type="fixed"/>
        <w:tblCellMar>
          <w:left w:w="62" w:type="dxa"/>
          <w:right w:w="62" w:type="dxa"/>
        </w:tblCellMar>
        <w:tblLook w:val="0000"/>
      </w:tblPr>
      <w:tblGrid>
        <w:gridCol w:w="3483"/>
        <w:gridCol w:w="5039"/>
      </w:tblGrid>
      <w:tr w:rsidTr="009E46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RANGE STATEMENT</w:t>
            </w:r>
          </w:p>
        </w:tc>
      </w:tr>
      <w:tr w:rsidTr="009E46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t>The range statement relates to the unit of competency as a whole.</w:t>
            </w:r>
          </w:p>
        </w:tc>
      </w:tr>
      <w:tr w:rsidTr="009E462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t>Agricultural chemicals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ListBullet"/>
            </w:pPr>
            <w:r w:rsidRPr="007C0677">
              <w:t>insecticides</w:t>
            </w:r>
          </w:p>
          <w:p w:rsidR="00000000" w:rsidRPr="007C0677" w:rsidP="007C0677">
            <w:pPr>
              <w:pStyle w:val="ListBullet"/>
            </w:pPr>
            <w:r w:rsidRPr="007C0677">
              <w:t>fungicides</w:t>
            </w:r>
          </w:p>
          <w:p w:rsidR="00000000" w:rsidRPr="007C0677" w:rsidP="007C0677">
            <w:pPr>
              <w:pStyle w:val="ListBullet"/>
            </w:pPr>
            <w:r w:rsidRPr="007C0677">
              <w:t>herbicides</w:t>
            </w:r>
          </w:p>
          <w:p w:rsidR="00000000" w:rsidRPr="007C0677" w:rsidP="007C0677">
            <w:pPr>
              <w:pStyle w:val="ListBullet"/>
            </w:pPr>
            <w:r w:rsidRPr="007C0677">
              <w:t>bactericides</w:t>
            </w:r>
          </w:p>
          <w:p w:rsidR="00000000" w:rsidRPr="007C0677" w:rsidP="007C0677">
            <w:pPr>
              <w:pStyle w:val="ListBullet"/>
            </w:pPr>
            <w:r w:rsidRPr="007C0677">
              <w:t>algaecides</w:t>
            </w:r>
          </w:p>
          <w:p w:rsidR="00000000" w:rsidRPr="007C0677" w:rsidP="007C0677">
            <w:pPr>
              <w:pStyle w:val="ListBullet"/>
            </w:pPr>
            <w:r w:rsidRPr="007C0677">
              <w:t>biologicals</w:t>
            </w:r>
          </w:p>
          <w:p w:rsidR="00000000" w:rsidRPr="007C0677" w:rsidP="007C0677">
            <w:pPr>
              <w:pStyle w:val="ListBullet"/>
            </w:pPr>
            <w:r w:rsidRPr="007C0677">
              <w:t>nematacides</w:t>
            </w:r>
          </w:p>
          <w:p w:rsidR="00000000" w:rsidRPr="007C0677" w:rsidP="007C0677">
            <w:pPr>
              <w:pStyle w:val="ListBullet"/>
            </w:pPr>
            <w:r w:rsidRPr="007C0677">
              <w:t>rodenticides</w:t>
            </w:r>
          </w:p>
          <w:p w:rsidR="00000000" w:rsidRPr="007C0677" w:rsidP="007C0677">
            <w:pPr>
              <w:pStyle w:val="ListBullet"/>
            </w:pPr>
            <w:r w:rsidRPr="007C0677">
              <w:t>antimicrobial agents</w:t>
            </w:r>
          </w:p>
          <w:p w:rsidR="00000000" w:rsidRPr="007C0677" w:rsidP="007C0677">
            <w:pPr>
              <w:pStyle w:val="ListBullet"/>
            </w:pPr>
            <w:r w:rsidRPr="007C0677">
              <w:t>anthelmintics</w:t>
            </w:r>
          </w:p>
          <w:p w:rsidR="00000000" w:rsidRPr="007C0677" w:rsidP="007C0677">
            <w:pPr>
              <w:pStyle w:val="ListBullet"/>
            </w:pPr>
            <w:r w:rsidRPr="007C0677">
              <w:t>fumigants</w:t>
            </w:r>
          </w:p>
          <w:p w:rsidR="00000000" w:rsidRPr="007C0677" w:rsidP="007C0677">
            <w:pPr>
              <w:pStyle w:val="ListBullet"/>
            </w:pPr>
            <w:r w:rsidRPr="007C0677">
              <w:t>hormone growth promotants</w:t>
            </w:r>
          </w:p>
          <w:p w:rsidR="00000000" w:rsidRPr="007C0677" w:rsidP="007C0677">
            <w:pPr>
              <w:pStyle w:val="ListBullet"/>
            </w:pPr>
            <w:r w:rsidRPr="007C0677">
              <w:t>a range of veterinary chemicals used to treat animals for disease.</w:t>
            </w:r>
          </w:p>
        </w:tc>
      </w:tr>
    </w:tbl>
    <w:p w:rsidR="009E4624" w:rsidP="007C0677">
      <w:pPr>
        <w:pStyle w:val="BodyText"/>
      </w:pPr>
    </w:p>
    <w:p w:rsidR="009E4624" w:rsidP="007C0677">
      <w:pPr>
        <w:pStyle w:val="BodyText"/>
      </w:pPr>
    </w:p>
    <w:p w:rsidR="00000000" w:rsidRPr="007C0677" w:rsidP="007C0677">
      <w:pPr>
        <w:pStyle w:val="Heading1"/>
      </w:pPr>
      <w:bookmarkStart w:id="12" w:name="O_187504"/>
      <w:bookmarkEnd w:id="12"/>
      <w:r w:rsidRPr="007C0677">
        <w:t>Unit Sector(s)</w:t>
      </w:r>
    </w:p>
    <w:tbl>
      <w:tblPr>
        <w:tblW w:w="0" w:type="auto"/>
        <w:tblLayout w:type="fixed"/>
        <w:tblCellMar>
          <w:left w:w="62" w:type="dxa"/>
          <w:right w:w="62" w:type="dxa"/>
        </w:tblCellMar>
        <w:tblLook w:val="0000"/>
      </w:tblPr>
      <w:tblGrid>
        <w:gridCol w:w="2610"/>
        <w:gridCol w:w="5912"/>
      </w:tblGrid>
      <w:tr w:rsidTr="009E462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r w:rsidRPr="007C0677">
              <w:t>Chemicals</w:t>
            </w:r>
          </w:p>
        </w:tc>
      </w:tr>
    </w:tbl>
    <w:p w:rsidR="009E4624" w:rsidP="007C0677">
      <w:pPr>
        <w:pStyle w:val="BodyText"/>
      </w:pPr>
    </w:p>
    <w:p w:rsidR="009E4624" w:rsidP="007C0677">
      <w:pPr>
        <w:pStyle w:val="BodyText"/>
      </w:pPr>
    </w:p>
    <w:p w:rsidR="00000000" w:rsidRPr="007C0677" w:rsidP="007C0677">
      <w:pPr>
        <w:pStyle w:val="Heading1"/>
      </w:pPr>
      <w:bookmarkStart w:id="13" w:name="O_187501"/>
      <w:bookmarkEnd w:id="13"/>
      <w:r w:rsidRPr="007C0677">
        <w:t>Co-requisite units</w:t>
      </w:r>
    </w:p>
    <w:tbl>
      <w:tblPr>
        <w:tblW w:w="0" w:type="auto"/>
        <w:tblLayout w:type="fixed"/>
        <w:tblCellMar>
          <w:left w:w="62" w:type="dxa"/>
          <w:right w:w="62" w:type="dxa"/>
        </w:tblCellMar>
        <w:tblLook w:val="0000"/>
      </w:tblPr>
      <w:tblGrid>
        <w:gridCol w:w="2641"/>
        <w:gridCol w:w="1322"/>
        <w:gridCol w:w="4559"/>
      </w:tblGrid>
      <w:tr w:rsidTr="009E46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p>
        </w:tc>
      </w:tr>
      <w:tr w:rsidTr="009E46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p>
        </w:tc>
      </w:tr>
    </w:tbl>
    <w:p w:rsidR="009E4624" w:rsidP="007C0677">
      <w:pPr>
        <w:pStyle w:val="BodyText"/>
      </w:pPr>
    </w:p>
    <w:p w:rsidR="009E4624" w:rsidP="007C0677">
      <w:pPr>
        <w:pStyle w:val="BodyText"/>
      </w:pPr>
    </w:p>
    <w:p w:rsidR="00000000" w:rsidRPr="007C0677" w:rsidP="007C0677">
      <w:pPr>
        <w:pStyle w:val="Heading1"/>
      </w:pPr>
      <w:bookmarkStart w:id="14" w:name="O_187503"/>
      <w:bookmarkEnd w:id="14"/>
      <w:r w:rsidRPr="007C0677">
        <w:t>Competency field</w:t>
      </w:r>
    </w:p>
    <w:tbl>
      <w:tblPr>
        <w:tblW w:w="0" w:type="auto"/>
        <w:tblLayout w:type="fixed"/>
        <w:tblCellMar>
          <w:left w:w="62" w:type="dxa"/>
          <w:right w:w="62" w:type="dxa"/>
        </w:tblCellMar>
        <w:tblLook w:val="0000"/>
      </w:tblPr>
      <w:tblGrid>
        <w:gridCol w:w="2784"/>
        <w:gridCol w:w="5738"/>
      </w:tblGrid>
      <w:tr w:rsidTr="009E46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677">
            <w:pPr>
              <w:pStyle w:val="BodyText"/>
              <w:rPr>
                <w:lang w:val="en-NZ"/>
              </w:rPr>
            </w:pPr>
            <w:r w:rsidRPr="007C06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677" w:rsidP="007C0677">
            <w:pPr>
              <w:pStyle w:val="BodyText"/>
            </w:pPr>
          </w:p>
        </w:tc>
      </w:tr>
    </w:tbl>
    <w:p w:rsidR="009E4624" w:rsidP="007C0677">
      <w:pPr>
        <w:pStyle w:val="BodyText"/>
      </w:pPr>
    </w:p>
    <w:p w:rsidR="009E4624" w:rsidP="007C0677">
      <w:pPr>
        <w:pStyle w:val="BodyText"/>
      </w:pPr>
    </w:p>
    <w:p w:rsidR="00000000" w:rsidRPr="007C0677" w:rsidP="007C0677"/>
    <w:sectPr w:rsidSect="007C06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624" w:rsidP="009E4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24" w:rsidP="007C0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4624" w:rsidP="007C06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4624" w:rsidP="007C06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624" w:rsidP="009E46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624" w:rsidP="007C0677">
    <w:pPr>
      <w:pStyle w:val="Header"/>
      <w:framePr w:wrap="around"/>
    </w:pPr>
    <w:r>
      <w:fldChar w:fldCharType="begin"/>
    </w:r>
    <w:r>
      <w:instrText xml:space="preserve"> TITLE   \* MERGEFORMAT </w:instrText>
    </w:r>
    <w:r>
      <w:fldChar w:fldCharType="separate"/>
    </w:r>
    <w:r>
      <w:t>AHCCHM401A Minimise risks in the use of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4624" w:rsidP="007C06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AB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0F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6B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6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0677"/>
    <w:pPr>
      <w:spacing w:before="360" w:after="60"/>
      <w:outlineLvl w:val="0"/>
    </w:pPr>
    <w:rPr>
      <w:sz w:val="32"/>
    </w:rPr>
  </w:style>
  <w:style w:type="paragraph" w:styleId="Heading2">
    <w:name w:val="heading 2"/>
    <w:basedOn w:val="HeadingBase"/>
    <w:next w:val="BodyText"/>
    <w:link w:val="Heading2Char"/>
    <w:qFormat/>
    <w:rsid w:val="007C0677"/>
    <w:pPr>
      <w:keepLines/>
      <w:spacing w:before="240" w:after="120"/>
      <w:outlineLvl w:val="1"/>
    </w:pPr>
    <w:rPr>
      <w:sz w:val="28"/>
      <w:szCs w:val="40"/>
    </w:rPr>
  </w:style>
  <w:style w:type="paragraph" w:styleId="Heading3">
    <w:name w:val="heading 3"/>
    <w:basedOn w:val="HeadingBase"/>
    <w:next w:val="BodyText"/>
    <w:link w:val="Heading3Char"/>
    <w:qFormat/>
    <w:rsid w:val="007C0677"/>
    <w:pPr>
      <w:spacing w:before="180" w:after="120"/>
      <w:outlineLvl w:val="2"/>
    </w:pPr>
    <w:rPr>
      <w:spacing w:val="-10"/>
      <w:kern w:val="32"/>
    </w:rPr>
  </w:style>
  <w:style w:type="paragraph" w:styleId="Heading4">
    <w:name w:val="heading 4"/>
    <w:basedOn w:val="HeadingBase"/>
    <w:next w:val="BodyText"/>
    <w:link w:val="Heading4Char"/>
    <w:qFormat/>
    <w:rsid w:val="007C0677"/>
    <w:pPr>
      <w:spacing w:before="160" w:after="120"/>
      <w:outlineLvl w:val="3"/>
    </w:pPr>
    <w:rPr>
      <w:sz w:val="22"/>
    </w:rPr>
  </w:style>
  <w:style w:type="paragraph" w:styleId="Heading5">
    <w:name w:val="heading 5"/>
    <w:basedOn w:val="HeadingBase"/>
    <w:next w:val="Normal"/>
    <w:link w:val="Heading5Char"/>
    <w:qFormat/>
    <w:rsid w:val="007C0677"/>
    <w:pPr>
      <w:spacing w:before="80"/>
      <w:outlineLvl w:val="4"/>
    </w:pPr>
    <w:rPr>
      <w:color w:val="918585"/>
      <w:sz w:val="20"/>
    </w:rPr>
  </w:style>
  <w:style w:type="paragraph" w:styleId="Heading6">
    <w:name w:val="heading 6"/>
    <w:basedOn w:val="HeadingBase"/>
    <w:next w:val="Normal"/>
    <w:link w:val="Heading6Char"/>
    <w:qFormat/>
    <w:rsid w:val="007C0677"/>
    <w:pPr>
      <w:spacing w:before="60"/>
      <w:outlineLvl w:val="5"/>
    </w:pPr>
    <w:rPr>
      <w:color w:val="918585"/>
      <w:sz w:val="20"/>
    </w:rPr>
  </w:style>
  <w:style w:type="paragraph" w:styleId="Heading7">
    <w:name w:val="heading 7"/>
    <w:basedOn w:val="Normal"/>
    <w:next w:val="Normal"/>
    <w:link w:val="Heading7Char"/>
    <w:qFormat/>
    <w:rsid w:val="007C0677"/>
    <w:pPr>
      <w:ind w:left="720"/>
      <w:outlineLvl w:val="6"/>
    </w:pPr>
    <w:rPr>
      <w:i/>
    </w:rPr>
  </w:style>
  <w:style w:type="paragraph" w:styleId="Heading8">
    <w:name w:val="heading 8"/>
    <w:basedOn w:val="Normal"/>
    <w:next w:val="Normal"/>
    <w:link w:val="Heading8Char"/>
    <w:qFormat/>
    <w:rsid w:val="007C0677"/>
    <w:pPr>
      <w:ind w:left="720"/>
      <w:outlineLvl w:val="7"/>
    </w:pPr>
    <w:rPr>
      <w:i/>
    </w:rPr>
  </w:style>
  <w:style w:type="paragraph" w:styleId="Heading9">
    <w:name w:val="heading 9"/>
    <w:basedOn w:val="Normal"/>
    <w:next w:val="Normal"/>
    <w:link w:val="Heading9Char"/>
    <w:qFormat/>
    <w:rsid w:val="007C0677"/>
    <w:pPr>
      <w:ind w:left="720"/>
      <w:outlineLvl w:val="8"/>
    </w:pPr>
    <w:rPr>
      <w:i/>
    </w:rPr>
  </w:style>
  <w:style w:type="character" w:default="1" w:styleId="DefaultParagraphFont">
    <w:name w:val="Default Paragraph Font"/>
    <w:uiPriority w:val="1"/>
    <w:unhideWhenUsed/>
    <w:rsid w:val="007C0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677"/>
  </w:style>
  <w:style w:type="character" w:customStyle="1" w:styleId="Heading1Char">
    <w:name w:val="Heading 1 Char"/>
    <w:basedOn w:val="DefaultParagraphFont"/>
    <w:link w:val="Heading1"/>
    <w:rsid w:val="007C0677"/>
    <w:rPr>
      <w:rFonts w:ascii="Times New Roman" w:eastAsia="Times New Roman" w:hAnsi="Times New Roman" w:cs="Times New Roman"/>
      <w:b/>
      <w:sz w:val="32"/>
      <w:szCs w:val="20"/>
      <w:lang w:eastAsia="en-US"/>
    </w:rPr>
  </w:style>
  <w:style w:type="paragraph" w:styleId="BodyText">
    <w:name w:val="Body Text"/>
    <w:basedOn w:val="Normal"/>
    <w:link w:val="BodyTextChar"/>
    <w:rsid w:val="007C06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0677"/>
    <w:rPr>
      <w:rFonts w:ascii="Times New Roman" w:eastAsia="Times New Roman" w:hAnsi="Times New Roman" w:cs="Times New Roman"/>
      <w:sz w:val="24"/>
      <w:lang w:val="en-US" w:eastAsia="en-US"/>
    </w:rPr>
  </w:style>
  <w:style w:type="paragraph" w:styleId="Footer">
    <w:name w:val="footer"/>
    <w:basedOn w:val="Normal"/>
    <w:link w:val="FooterChar"/>
    <w:rsid w:val="007C0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677"/>
    <w:rPr>
      <w:rFonts w:ascii="Times New Roman" w:eastAsia="Times New Roman" w:hAnsi="Times New Roman" w:cs="Times New Roman"/>
      <w:sz w:val="16"/>
      <w:lang w:val="en-US" w:eastAsia="en-US"/>
    </w:rPr>
  </w:style>
  <w:style w:type="paragraph" w:styleId="List">
    <w:name w:val="List"/>
    <w:basedOn w:val="BodyText"/>
    <w:next w:val="BodyText"/>
    <w:rsid w:val="007C0677"/>
    <w:pPr>
      <w:tabs>
        <w:tab w:val="left" w:pos="340"/>
      </w:tabs>
      <w:spacing w:before="60" w:after="60"/>
      <w:ind w:left="340" w:hanging="340"/>
    </w:pPr>
  </w:style>
  <w:style w:type="paragraph" w:styleId="ListBullet">
    <w:name w:val="List Bullet"/>
    <w:basedOn w:val="List"/>
    <w:rsid w:val="007C0677"/>
    <w:pPr>
      <w:numPr>
        <w:numId w:val="13"/>
      </w:numPr>
      <w:tabs>
        <w:tab w:val="clear" w:pos="340"/>
      </w:tabs>
      <w:spacing w:before="40" w:after="40"/>
    </w:pPr>
  </w:style>
  <w:style w:type="character" w:customStyle="1" w:styleId="SpecialBold">
    <w:name w:val="Special Bold"/>
    <w:basedOn w:val="DefaultParagraphFont"/>
    <w:rsid w:val="007C0677"/>
    <w:rPr>
      <w:b/>
      <w:spacing w:val="0"/>
    </w:rPr>
  </w:style>
  <w:style w:type="paragraph" w:styleId="ListBullet2">
    <w:name w:val="List Bullet 2"/>
    <w:basedOn w:val="List2"/>
    <w:rsid w:val="007C0677"/>
    <w:pPr>
      <w:numPr>
        <w:numId w:val="14"/>
      </w:numPr>
      <w:tabs>
        <w:tab w:val="clear" w:pos="680"/>
      </w:tabs>
    </w:pPr>
  </w:style>
  <w:style w:type="paragraph" w:styleId="Header">
    <w:name w:val="header"/>
    <w:basedOn w:val="Normal"/>
    <w:link w:val="HeaderChar"/>
    <w:rsid w:val="007C0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6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0677"/>
    <w:pPr>
      <w:spacing w:before="240" w:after="120"/>
      <w:outlineLvl w:val="0"/>
    </w:pPr>
    <w:rPr>
      <w:rFonts w:ascii="Times New Roman" w:hAnsi="Times New Roman"/>
      <w:b/>
      <w:sz w:val="28"/>
    </w:rPr>
  </w:style>
  <w:style w:type="paragraph" w:customStyle="1" w:styleId="AllowPageBreak">
    <w:name w:val="AllowPageBreak"/>
    <w:rsid w:val="007C06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0677"/>
    <w:pPr>
      <w:tabs>
        <w:tab w:val="left" w:pos="680"/>
      </w:tabs>
      <w:spacing w:before="60" w:after="60"/>
      <w:ind w:left="680" w:hanging="340"/>
    </w:pPr>
  </w:style>
  <w:style w:type="character" w:customStyle="1" w:styleId="Heading2Char">
    <w:name w:val="Heading 2 Char"/>
    <w:basedOn w:val="DefaultParagraphFont"/>
    <w:link w:val="Heading2"/>
    <w:rsid w:val="007C0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6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06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0677"/>
    <w:rPr>
      <w:rFonts w:ascii="Courier New" w:eastAsia="Times New Roman" w:hAnsi="Courier New" w:cs="Times New Roman"/>
      <w:i/>
      <w:szCs w:val="20"/>
      <w:lang w:val="en-US" w:eastAsia="en-US"/>
    </w:rPr>
  </w:style>
  <w:style w:type="paragraph" w:customStyle="1" w:styleId="HeadingBase">
    <w:name w:val="Heading Base"/>
    <w:rsid w:val="007C0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677"/>
    <w:pPr>
      <w:tabs>
        <w:tab w:val="right" w:leader="dot" w:pos="9072"/>
      </w:tabs>
      <w:ind w:left="567"/>
    </w:pPr>
    <w:rPr>
      <w:szCs w:val="22"/>
    </w:rPr>
  </w:style>
  <w:style w:type="paragraph" w:customStyle="1" w:styleId="TOCBase">
    <w:name w:val="TOC Base"/>
    <w:rsid w:val="007C0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677"/>
    <w:pPr>
      <w:tabs>
        <w:tab w:val="right" w:leader="dot" w:pos="9072"/>
      </w:tabs>
      <w:spacing w:before="40" w:after="40"/>
      <w:ind w:left="284"/>
    </w:pPr>
    <w:rPr>
      <w:rFonts w:ascii="Times New Roman" w:hAnsi="Times New Roman"/>
    </w:rPr>
  </w:style>
  <w:style w:type="paragraph" w:styleId="TOC1">
    <w:name w:val="toc 1"/>
    <w:basedOn w:val="TOCBase"/>
    <w:next w:val="Normal"/>
    <w:rsid w:val="007C06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0677"/>
    <w:pPr>
      <w:spacing w:before="5040"/>
      <w:jc w:val="center"/>
    </w:pPr>
    <w:rPr>
      <w:sz w:val="48"/>
      <w:szCs w:val="72"/>
      <w:lang w:val="en-US"/>
    </w:rPr>
  </w:style>
  <w:style w:type="character" w:customStyle="1" w:styleId="TitleChar">
    <w:name w:val="Title Char"/>
    <w:basedOn w:val="DefaultParagraphFont"/>
    <w:link w:val="Title"/>
    <w:rsid w:val="007C0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677"/>
    <w:pPr>
      <w:tabs>
        <w:tab w:val="left" w:pos="3600"/>
        <w:tab w:val="left" w:pos="3958"/>
      </w:tabs>
    </w:pPr>
  </w:style>
  <w:style w:type="paragraph" w:customStyle="1" w:styleId="Note">
    <w:name w:val="Note"/>
    <w:basedOn w:val="BodyText"/>
    <w:rsid w:val="007C06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677"/>
    <w:pPr>
      <w:framePr w:wrap="auto" w:hAnchor="text" w:y="6049"/>
    </w:pPr>
    <w:rPr>
      <w:color w:val="000000"/>
      <w:sz w:val="40"/>
    </w:rPr>
  </w:style>
  <w:style w:type="paragraph" w:customStyle="1" w:styleId="TOCTitle">
    <w:name w:val="TOCTitle"/>
    <w:basedOn w:val="Heading1"/>
    <w:rsid w:val="007C0677"/>
    <w:pPr>
      <w:spacing w:after="240"/>
      <w:jc w:val="center"/>
      <w:outlineLvl w:val="9"/>
    </w:pPr>
    <w:rPr>
      <w:caps/>
    </w:rPr>
  </w:style>
  <w:style w:type="paragraph" w:customStyle="1" w:styleId="Version">
    <w:name w:val="Version"/>
    <w:rsid w:val="007C0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677"/>
    <w:pPr>
      <w:keepNext w:val="0"/>
      <w:tabs>
        <w:tab w:val="right" w:pos="4176"/>
      </w:tabs>
      <w:ind w:left="198" w:hanging="198"/>
    </w:pPr>
    <w:rPr>
      <w:rFonts w:ascii="Garamond" w:hAnsi="Garamond"/>
    </w:rPr>
  </w:style>
  <w:style w:type="paragraph" w:styleId="IndexHeading">
    <w:name w:val="index heading"/>
    <w:basedOn w:val="Normal"/>
    <w:next w:val="Index1"/>
    <w:semiHidden/>
    <w:rsid w:val="007C0677"/>
    <w:pPr>
      <w:spacing w:before="120" w:after="120"/>
    </w:pPr>
    <w:rPr>
      <w:rFonts w:ascii="Arial" w:hAnsi="Arial"/>
      <w:b/>
      <w:color w:val="918585"/>
      <w:sz w:val="24"/>
    </w:rPr>
  </w:style>
  <w:style w:type="paragraph" w:customStyle="1" w:styleId="Chapter">
    <w:name w:val="Chapter"/>
    <w:basedOn w:val="Normal"/>
    <w:rsid w:val="007C0677"/>
    <w:pPr>
      <w:spacing w:before="240"/>
    </w:pPr>
    <w:rPr>
      <w:rFonts w:ascii="Times New Roman" w:hAnsi="Times New Roman"/>
      <w:smallCaps/>
      <w:spacing w:val="80"/>
      <w:sz w:val="28"/>
    </w:rPr>
  </w:style>
  <w:style w:type="paragraph" w:customStyle="1" w:styleId="InChapter">
    <w:name w:val="InChapter"/>
    <w:basedOn w:val="Heading3"/>
    <w:rsid w:val="007C0677"/>
    <w:pPr>
      <w:spacing w:after="240"/>
      <w:outlineLvl w:val="9"/>
    </w:pPr>
    <w:rPr>
      <w:noProof/>
    </w:rPr>
  </w:style>
  <w:style w:type="paragraph" w:styleId="Index2">
    <w:name w:val="index 2"/>
    <w:basedOn w:val="Normal"/>
    <w:next w:val="Normal"/>
    <w:semiHidden/>
    <w:rsid w:val="007C0677"/>
    <w:pPr>
      <w:tabs>
        <w:tab w:val="right" w:pos="4176"/>
      </w:tabs>
      <w:ind w:left="568" w:hanging="284"/>
    </w:pPr>
    <w:rPr>
      <w:rFonts w:ascii="Garamond" w:hAnsi="Garamond"/>
    </w:rPr>
  </w:style>
  <w:style w:type="paragraph" w:customStyle="1" w:styleId="Byline">
    <w:name w:val="Byline"/>
    <w:rsid w:val="007C0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677"/>
    <w:pPr>
      <w:tabs>
        <w:tab w:val="clear" w:pos="3600"/>
        <w:tab w:val="clear" w:pos="3958"/>
      </w:tabs>
      <w:jc w:val="right"/>
    </w:pPr>
  </w:style>
  <w:style w:type="character" w:styleId="Emphasis">
    <w:name w:val="Emphasis"/>
    <w:basedOn w:val="DefaultParagraphFont"/>
    <w:qFormat/>
    <w:rsid w:val="007C0677"/>
    <w:rPr>
      <w:i/>
    </w:rPr>
  </w:style>
  <w:style w:type="paragraph" w:styleId="Caption">
    <w:name w:val="caption"/>
    <w:basedOn w:val="BodyText"/>
    <w:next w:val="Normal"/>
    <w:qFormat/>
    <w:rsid w:val="007C0677"/>
    <w:pPr>
      <w:framePr w:w="2268" w:hSpace="181" w:vSpace="181" w:wrap="around" w:vAnchor="text" w:hAnchor="page" w:x="1135" w:y="285" w:anchorLock="1"/>
    </w:pPr>
    <w:rPr>
      <w:i/>
    </w:rPr>
  </w:style>
  <w:style w:type="paragraph" w:customStyle="1" w:styleId="MiniTOCTitle">
    <w:name w:val="MiniTOCTitle"/>
    <w:basedOn w:val="Heading4"/>
    <w:rsid w:val="007C0677"/>
    <w:pPr>
      <w:spacing w:before="240"/>
      <w:outlineLvl w:val="9"/>
    </w:pPr>
    <w:rPr>
      <w:noProof/>
      <w:sz w:val="24"/>
    </w:rPr>
  </w:style>
  <w:style w:type="paragraph" w:customStyle="1" w:styleId="MiniTOCItem">
    <w:name w:val="MiniTOCItem"/>
    <w:basedOn w:val="ListBullet"/>
    <w:rsid w:val="007C0677"/>
    <w:pPr>
      <w:numPr>
        <w:numId w:val="0"/>
      </w:numPr>
      <w:tabs>
        <w:tab w:val="right" w:leader="dot" w:pos="6521"/>
      </w:tabs>
      <w:spacing w:before="0" w:after="0"/>
    </w:pPr>
  </w:style>
  <w:style w:type="paragraph" w:customStyle="1" w:styleId="TOFTitle">
    <w:name w:val="TOFTitle"/>
    <w:basedOn w:val="TOCTitle"/>
    <w:rsid w:val="007C0677"/>
  </w:style>
  <w:style w:type="paragraph" w:styleId="TableofFigures">
    <w:name w:val="table of figures"/>
    <w:basedOn w:val="Normal"/>
    <w:next w:val="Normal"/>
    <w:semiHidden/>
    <w:rsid w:val="007C0677"/>
    <w:pPr>
      <w:tabs>
        <w:tab w:val="right" w:leader="dot" w:pos="9072"/>
      </w:tabs>
      <w:ind w:left="970" w:hanging="403"/>
    </w:pPr>
    <w:rPr>
      <w:rFonts w:ascii="Times New Roman" w:hAnsi="Times New Roman"/>
      <w:b/>
    </w:rPr>
  </w:style>
  <w:style w:type="paragraph" w:styleId="ListNumber">
    <w:name w:val="List Number"/>
    <w:basedOn w:val="List"/>
    <w:rsid w:val="007C0677"/>
    <w:pPr>
      <w:numPr>
        <w:numId w:val="11"/>
      </w:numPr>
    </w:pPr>
  </w:style>
  <w:style w:type="character" w:customStyle="1" w:styleId="WingdingSymbols">
    <w:name w:val="Wingding Symbols"/>
    <w:rsid w:val="007C0677"/>
    <w:rPr>
      <w:rFonts w:ascii="Wingdings" w:hAnsi="Wingdings"/>
    </w:rPr>
  </w:style>
  <w:style w:type="paragraph" w:customStyle="1" w:styleId="TableHeading">
    <w:name w:val="Table Heading"/>
    <w:basedOn w:val="HeadingBase"/>
    <w:rsid w:val="007C0677"/>
    <w:pPr>
      <w:keepLines/>
      <w:pBdr>
        <w:bottom w:val="single" w:sz="6" w:space="1" w:color="918585"/>
      </w:pBdr>
      <w:spacing w:before="240"/>
    </w:pPr>
  </w:style>
  <w:style w:type="character" w:customStyle="1" w:styleId="HotSpot">
    <w:name w:val="HotSpot"/>
    <w:rsid w:val="007C0677"/>
    <w:rPr>
      <w:color w:val="0033CC"/>
      <w:u w:val="none"/>
    </w:rPr>
  </w:style>
  <w:style w:type="paragraph" w:customStyle="1" w:styleId="BodyTextRight">
    <w:name w:val="Body Text Right"/>
    <w:basedOn w:val="BodyText"/>
    <w:rsid w:val="007C0677"/>
    <w:pPr>
      <w:spacing w:before="0" w:after="0"/>
      <w:jc w:val="right"/>
    </w:pPr>
  </w:style>
  <w:style w:type="paragraph" w:styleId="Index3">
    <w:name w:val="index 3"/>
    <w:basedOn w:val="ListNumber2"/>
    <w:next w:val="Normal"/>
    <w:semiHidden/>
    <w:rsid w:val="007C0677"/>
    <w:pPr>
      <w:numPr>
        <w:numId w:val="0"/>
      </w:numPr>
      <w:tabs>
        <w:tab w:val="right" w:leader="dot" w:pos="4176"/>
      </w:tabs>
    </w:pPr>
  </w:style>
  <w:style w:type="paragraph" w:styleId="ListNumber2">
    <w:name w:val="List Number 2"/>
    <w:basedOn w:val="List2"/>
    <w:rsid w:val="007C0677"/>
    <w:pPr>
      <w:numPr>
        <w:numId w:val="10"/>
      </w:numPr>
      <w:tabs>
        <w:tab w:val="clear" w:pos="1060"/>
      </w:tabs>
    </w:pPr>
  </w:style>
  <w:style w:type="paragraph" w:customStyle="1" w:styleId="MarginNote">
    <w:name w:val="Margin Note"/>
    <w:basedOn w:val="BodyText"/>
    <w:rsid w:val="007C0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6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0677"/>
    <w:rPr>
      <w:sz w:val="32"/>
    </w:rPr>
  </w:style>
  <w:style w:type="paragraph" w:customStyle="1" w:styleId="HeadingProcedure">
    <w:name w:val="Heading Procedure"/>
    <w:basedOn w:val="HeadingBase"/>
    <w:next w:val="Normal"/>
    <w:rsid w:val="007C0677"/>
    <w:pPr>
      <w:tabs>
        <w:tab w:val="left" w:pos="0"/>
      </w:tabs>
      <w:spacing w:before="120" w:after="60"/>
    </w:pPr>
    <w:rPr>
      <w:i/>
      <w:color w:val="918585"/>
      <w:sz w:val="22"/>
    </w:rPr>
  </w:style>
  <w:style w:type="paragraph" w:customStyle="1" w:styleId="TableBodyText">
    <w:name w:val="Table Body Text"/>
    <w:basedOn w:val="BodyText"/>
    <w:rsid w:val="007C0677"/>
    <w:pPr>
      <w:spacing w:before="60" w:after="60"/>
    </w:pPr>
  </w:style>
  <w:style w:type="paragraph" w:styleId="ListContinue">
    <w:name w:val="List Continue"/>
    <w:basedOn w:val="List"/>
    <w:rsid w:val="007C0677"/>
    <w:pPr>
      <w:ind w:firstLine="0"/>
    </w:pPr>
  </w:style>
  <w:style w:type="paragraph" w:customStyle="1" w:styleId="ListNote">
    <w:name w:val="List Note"/>
    <w:basedOn w:val="List"/>
    <w:rsid w:val="007C0677"/>
    <w:pPr>
      <w:pBdr>
        <w:top w:val="single" w:sz="6" w:space="2" w:color="918585"/>
        <w:bottom w:val="single" w:sz="6" w:space="2" w:color="918585"/>
      </w:pBdr>
      <w:tabs>
        <w:tab w:val="left" w:pos="1021"/>
      </w:tabs>
      <w:ind w:firstLine="0"/>
    </w:pPr>
  </w:style>
  <w:style w:type="paragraph" w:customStyle="1" w:styleId="Warning">
    <w:name w:val="Warning"/>
    <w:basedOn w:val="BodyText"/>
    <w:rsid w:val="007C0677"/>
    <w:pPr>
      <w:shd w:val="clear" w:color="auto" w:fill="D9D9D9"/>
      <w:tabs>
        <w:tab w:val="left" w:pos="992"/>
      </w:tabs>
      <w:ind w:left="119" w:right="119"/>
    </w:pPr>
    <w:rPr>
      <w:sz w:val="20"/>
    </w:rPr>
  </w:style>
  <w:style w:type="paragraph" w:customStyle="1" w:styleId="MarginIcons">
    <w:name w:val="Margin Icons"/>
    <w:basedOn w:val="BodyText"/>
    <w:rsid w:val="007C0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677"/>
    <w:rPr>
      <w:rFonts w:ascii="Courier New" w:hAnsi="Courier New"/>
    </w:rPr>
  </w:style>
  <w:style w:type="paragraph" w:customStyle="1" w:styleId="NoteBullet">
    <w:name w:val="Note Bullet"/>
    <w:basedOn w:val="Note"/>
    <w:rsid w:val="007C0677"/>
    <w:pPr>
      <w:tabs>
        <w:tab w:val="clear" w:pos="680"/>
      </w:tabs>
      <w:spacing w:before="60" w:after="60"/>
    </w:pPr>
  </w:style>
  <w:style w:type="paragraph" w:customStyle="1" w:styleId="SubHeading2">
    <w:name w:val="SubHeading2"/>
    <w:basedOn w:val="HeadingBase"/>
    <w:rsid w:val="007C0677"/>
    <w:pPr>
      <w:spacing w:before="240" w:after="60"/>
    </w:pPr>
    <w:rPr>
      <w:sz w:val="20"/>
    </w:rPr>
  </w:style>
  <w:style w:type="paragraph" w:customStyle="1" w:styleId="SubHeading1">
    <w:name w:val="SubHeading1"/>
    <w:basedOn w:val="HeadingBase"/>
    <w:rsid w:val="007C0677"/>
    <w:pPr>
      <w:spacing w:before="240" w:after="60"/>
    </w:pPr>
    <w:rPr>
      <w:color w:val="918585"/>
      <w:sz w:val="22"/>
    </w:rPr>
  </w:style>
  <w:style w:type="paragraph" w:customStyle="1" w:styleId="SideHeading">
    <w:name w:val="Side Heading"/>
    <w:basedOn w:val="HeadingBase"/>
    <w:rsid w:val="007C0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677"/>
    <w:pPr>
      <w:numPr>
        <w:numId w:val="12"/>
      </w:numPr>
    </w:pPr>
  </w:style>
  <w:style w:type="paragraph" w:styleId="PlainText">
    <w:name w:val="Plain Text"/>
    <w:basedOn w:val="Normal"/>
    <w:link w:val="PlainTextChar"/>
    <w:rsid w:val="007C0677"/>
    <w:rPr>
      <w:sz w:val="20"/>
    </w:rPr>
  </w:style>
  <w:style w:type="character" w:customStyle="1" w:styleId="PlainTextChar">
    <w:name w:val="Plain Text Char"/>
    <w:basedOn w:val="DefaultParagraphFont"/>
    <w:link w:val="PlainText"/>
    <w:rsid w:val="007C06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0677"/>
    <w:rPr>
      <w:b/>
      <w:smallCaps/>
    </w:rPr>
  </w:style>
  <w:style w:type="paragraph" w:customStyle="1" w:styleId="TableListNumber">
    <w:name w:val="Table List Number"/>
    <w:basedOn w:val="ListNumber"/>
    <w:rsid w:val="007C0677"/>
    <w:pPr>
      <w:numPr>
        <w:numId w:val="0"/>
      </w:numPr>
    </w:pPr>
  </w:style>
  <w:style w:type="paragraph" w:styleId="TOC4">
    <w:name w:val="toc 4"/>
    <w:basedOn w:val="TOCBase"/>
    <w:next w:val="Normal"/>
    <w:semiHidden/>
    <w:rsid w:val="007C0677"/>
    <w:pPr>
      <w:tabs>
        <w:tab w:val="right" w:leader="dot" w:pos="9071"/>
      </w:tabs>
      <w:ind w:left="1701"/>
    </w:pPr>
  </w:style>
  <w:style w:type="paragraph" w:customStyle="1" w:styleId="ListAlpha">
    <w:name w:val="List Alpha"/>
    <w:basedOn w:val="List"/>
    <w:rsid w:val="007C0677"/>
    <w:pPr>
      <w:numPr>
        <w:numId w:val="9"/>
      </w:numPr>
    </w:pPr>
  </w:style>
  <w:style w:type="paragraph" w:customStyle="1" w:styleId="ListAlpha2">
    <w:name w:val="List Alpha 2"/>
    <w:basedOn w:val="List2"/>
    <w:rsid w:val="007C0677"/>
    <w:pPr>
      <w:numPr>
        <w:numId w:val="8"/>
      </w:numPr>
    </w:pPr>
  </w:style>
  <w:style w:type="paragraph" w:styleId="List3">
    <w:name w:val="List 3"/>
    <w:basedOn w:val="BodyText"/>
    <w:rsid w:val="007C0677"/>
    <w:pPr>
      <w:tabs>
        <w:tab w:val="left" w:pos="1021"/>
      </w:tabs>
      <w:spacing w:before="60" w:after="60"/>
      <w:ind w:left="1020" w:hanging="340"/>
    </w:pPr>
  </w:style>
  <w:style w:type="paragraph" w:styleId="List4">
    <w:name w:val="List 4"/>
    <w:basedOn w:val="BodyText"/>
    <w:rsid w:val="007C0677"/>
    <w:pPr>
      <w:tabs>
        <w:tab w:val="left" w:pos="1361"/>
      </w:tabs>
      <w:spacing w:before="60" w:after="60"/>
      <w:ind w:left="1361" w:hanging="340"/>
    </w:pPr>
  </w:style>
  <w:style w:type="paragraph" w:styleId="List5">
    <w:name w:val="List 5"/>
    <w:basedOn w:val="BodyText"/>
    <w:rsid w:val="007C0677"/>
    <w:pPr>
      <w:tabs>
        <w:tab w:val="left" w:pos="1701"/>
      </w:tabs>
      <w:spacing w:before="60" w:after="60"/>
      <w:ind w:left="1701" w:hanging="340"/>
    </w:pPr>
  </w:style>
  <w:style w:type="paragraph" w:styleId="ListBullet3">
    <w:name w:val="List Bullet 3"/>
    <w:basedOn w:val="List3"/>
    <w:rsid w:val="007C0677"/>
    <w:pPr>
      <w:numPr>
        <w:numId w:val="15"/>
      </w:numPr>
      <w:tabs>
        <w:tab w:val="clear" w:pos="1021"/>
      </w:tabs>
      <w:ind w:left="1037" w:hanging="357"/>
    </w:pPr>
  </w:style>
  <w:style w:type="paragraph" w:styleId="ListBullet4">
    <w:name w:val="List Bullet 4"/>
    <w:basedOn w:val="List4"/>
    <w:rsid w:val="007C0677"/>
    <w:pPr>
      <w:numPr>
        <w:numId w:val="3"/>
      </w:numPr>
    </w:pPr>
  </w:style>
  <w:style w:type="paragraph" w:styleId="ListBullet5">
    <w:name w:val="List Bullet 5"/>
    <w:basedOn w:val="List5"/>
    <w:rsid w:val="007C0677"/>
    <w:pPr>
      <w:numPr>
        <w:numId w:val="4"/>
      </w:numPr>
    </w:pPr>
  </w:style>
  <w:style w:type="paragraph" w:styleId="ListContinue2">
    <w:name w:val="List Continue 2"/>
    <w:basedOn w:val="List2"/>
    <w:rsid w:val="007C0677"/>
    <w:pPr>
      <w:ind w:firstLine="0"/>
    </w:pPr>
  </w:style>
  <w:style w:type="paragraph" w:styleId="ListContinue3">
    <w:name w:val="List Continue 3"/>
    <w:basedOn w:val="List3"/>
    <w:rsid w:val="007C0677"/>
    <w:pPr>
      <w:ind w:left="1021" w:firstLine="0"/>
    </w:pPr>
  </w:style>
  <w:style w:type="paragraph" w:styleId="ListContinue4">
    <w:name w:val="List Continue 4"/>
    <w:basedOn w:val="List4"/>
    <w:rsid w:val="007C0677"/>
    <w:pPr>
      <w:ind w:firstLine="0"/>
    </w:pPr>
  </w:style>
  <w:style w:type="paragraph" w:styleId="ListContinue5">
    <w:name w:val="List Continue 5"/>
    <w:basedOn w:val="List5"/>
    <w:rsid w:val="007C0677"/>
    <w:pPr>
      <w:ind w:firstLine="0"/>
    </w:pPr>
  </w:style>
  <w:style w:type="paragraph" w:styleId="ListNumber3">
    <w:name w:val="List Number 3"/>
    <w:basedOn w:val="List3"/>
    <w:rsid w:val="007C0677"/>
    <w:pPr>
      <w:numPr>
        <w:numId w:val="5"/>
      </w:numPr>
    </w:pPr>
  </w:style>
  <w:style w:type="paragraph" w:styleId="ListNumber4">
    <w:name w:val="List Number 4"/>
    <w:basedOn w:val="List4"/>
    <w:rsid w:val="007C0677"/>
    <w:pPr>
      <w:numPr>
        <w:numId w:val="6"/>
      </w:numPr>
    </w:pPr>
  </w:style>
  <w:style w:type="paragraph" w:styleId="ListNumber5">
    <w:name w:val="List Number 5"/>
    <w:basedOn w:val="List5"/>
    <w:rsid w:val="007C0677"/>
    <w:pPr>
      <w:numPr>
        <w:numId w:val="7"/>
      </w:numPr>
    </w:pPr>
  </w:style>
  <w:style w:type="paragraph" w:styleId="BlockText">
    <w:name w:val="Block Text"/>
    <w:basedOn w:val="Normal"/>
    <w:rsid w:val="007C0677"/>
    <w:pPr>
      <w:spacing w:after="120"/>
      <w:ind w:left="1440" w:right="1440"/>
    </w:pPr>
  </w:style>
  <w:style w:type="character" w:customStyle="1" w:styleId="Subscript">
    <w:name w:val="Subscript"/>
    <w:basedOn w:val="DefaultParagraphFont"/>
    <w:rsid w:val="007C0677"/>
    <w:rPr>
      <w:sz w:val="16"/>
      <w:vertAlign w:val="subscript"/>
    </w:rPr>
  </w:style>
  <w:style w:type="character" w:customStyle="1" w:styleId="Superscript">
    <w:name w:val="Superscript"/>
    <w:basedOn w:val="DefaultParagraphFont"/>
    <w:rsid w:val="007C0677"/>
    <w:rPr>
      <w:sz w:val="16"/>
      <w:vertAlign w:val="superscript"/>
    </w:rPr>
  </w:style>
  <w:style w:type="character" w:customStyle="1" w:styleId="Symbols">
    <w:name w:val="Symbols"/>
    <w:basedOn w:val="DefaultParagraphFont"/>
    <w:rsid w:val="007C0677"/>
    <w:rPr>
      <w:rFonts w:ascii="Symbol" w:hAnsi="Symbol"/>
    </w:rPr>
  </w:style>
  <w:style w:type="character" w:customStyle="1" w:styleId="MenuOptions">
    <w:name w:val="Menu Options"/>
    <w:basedOn w:val="DefaultParagraphFont"/>
    <w:rsid w:val="007C0677"/>
    <w:rPr>
      <w:rFonts w:ascii="Arial Narrow" w:hAnsi="Arial Narrow"/>
      <w:smallCaps/>
    </w:rPr>
  </w:style>
  <w:style w:type="character" w:customStyle="1" w:styleId="Buttons">
    <w:name w:val="Buttons"/>
    <w:basedOn w:val="DefaultParagraphFont"/>
    <w:rsid w:val="007C0677"/>
    <w:rPr>
      <w:b/>
    </w:rPr>
  </w:style>
  <w:style w:type="character" w:customStyle="1" w:styleId="Underlined">
    <w:name w:val="Underlined"/>
    <w:basedOn w:val="DefaultParagraphFont"/>
    <w:rsid w:val="007C0677"/>
    <w:rPr>
      <w:u w:val="single"/>
    </w:rPr>
  </w:style>
  <w:style w:type="paragraph" w:customStyle="1" w:styleId="TableBodyTextRight">
    <w:name w:val="Table Body Text Right"/>
    <w:basedOn w:val="TableBodyText"/>
    <w:rsid w:val="007C0677"/>
    <w:pPr>
      <w:widowControl w:val="0"/>
      <w:autoSpaceDE w:val="0"/>
      <w:autoSpaceDN w:val="0"/>
      <w:adjustRightInd w:val="0"/>
      <w:jc w:val="right"/>
    </w:pPr>
    <w:rPr>
      <w:rFonts w:cs="Arial"/>
      <w:szCs w:val="18"/>
    </w:rPr>
  </w:style>
  <w:style w:type="paragraph" w:customStyle="1" w:styleId="CopyrightText">
    <w:name w:val="Copyright Text"/>
    <w:basedOn w:val="BodyText"/>
    <w:rsid w:val="007C0677"/>
    <w:rPr>
      <w:sz w:val="18"/>
    </w:rPr>
  </w:style>
  <w:style w:type="paragraph" w:customStyle="1" w:styleId="BodySmallRight">
    <w:name w:val="Body Small Right"/>
    <w:basedOn w:val="BodyTextRight"/>
    <w:rsid w:val="007C0677"/>
    <w:rPr>
      <w:sz w:val="18"/>
      <w:szCs w:val="18"/>
    </w:rPr>
  </w:style>
  <w:style w:type="paragraph" w:customStyle="1" w:styleId="MarginEdition">
    <w:name w:val="Margin Edition"/>
    <w:basedOn w:val="MarginNote"/>
    <w:rsid w:val="007C0677"/>
    <w:pPr>
      <w:spacing w:before="0" w:after="0"/>
    </w:pPr>
    <w:rPr>
      <w:rFonts w:ascii="Times New Roman" w:hAnsi="Times New Roman"/>
      <w:color w:val="999999"/>
    </w:rPr>
  </w:style>
  <w:style w:type="paragraph" w:customStyle="1" w:styleId="Spacer">
    <w:name w:val="Spacer"/>
    <w:basedOn w:val="Normal"/>
    <w:rsid w:val="007C0677"/>
    <w:rPr>
      <w:sz w:val="2"/>
      <w:szCs w:val="2"/>
    </w:rPr>
  </w:style>
  <w:style w:type="character" w:customStyle="1" w:styleId="Small">
    <w:name w:val="Small"/>
    <w:basedOn w:val="DefaultParagraphFont"/>
    <w:rsid w:val="007C0677"/>
    <w:rPr>
      <w:sz w:val="16"/>
    </w:rPr>
  </w:style>
  <w:style w:type="paragraph" w:customStyle="1" w:styleId="WideTable">
    <w:name w:val="Wide Table"/>
    <w:basedOn w:val="Normal"/>
    <w:rsid w:val="007C0677"/>
    <w:pPr>
      <w:ind w:left="-1418"/>
    </w:pPr>
    <w:rPr>
      <w:sz w:val="2"/>
      <w:szCs w:val="2"/>
    </w:rPr>
  </w:style>
  <w:style w:type="character" w:styleId="PageNumber">
    <w:name w:val="page number"/>
    <w:basedOn w:val="DefaultParagraphFont"/>
    <w:rsid w:val="007C0677"/>
  </w:style>
  <w:style w:type="paragraph" w:styleId="Quote">
    <w:name w:val="Quote"/>
    <w:basedOn w:val="Heading1"/>
    <w:link w:val="QuoteChar"/>
    <w:qFormat/>
    <w:rsid w:val="007C0677"/>
    <w:rPr>
      <w:b w:val="0"/>
      <w:sz w:val="72"/>
      <w:szCs w:val="72"/>
      <w:lang w:val="en-NZ"/>
    </w:rPr>
  </w:style>
  <w:style w:type="character" w:customStyle="1" w:styleId="QuoteChar">
    <w:name w:val="Quote Char"/>
    <w:basedOn w:val="DefaultParagraphFont"/>
    <w:link w:val="Quote"/>
    <w:rsid w:val="007C0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677"/>
    <w:pPr>
      <w:pageBreakBefore/>
    </w:pPr>
  </w:style>
  <w:style w:type="paragraph" w:customStyle="1" w:styleId="Border">
    <w:name w:val="Border"/>
    <w:basedOn w:val="Normal"/>
    <w:qFormat/>
    <w:rsid w:val="007C0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677"/>
    <w:rPr>
      <w:b/>
      <w:bCs/>
      <w:i/>
      <w:iCs/>
      <w:color w:val="auto"/>
    </w:rPr>
  </w:style>
  <w:style w:type="paragraph" w:styleId="IntenseQuote">
    <w:name w:val="Intense Quote"/>
    <w:basedOn w:val="Normal"/>
    <w:next w:val="Normal"/>
    <w:link w:val="IntenseQuoteChar"/>
    <w:uiPriority w:val="30"/>
    <w:qFormat/>
    <w:rsid w:val="007C0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6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0677"/>
    <w:rPr>
      <w:smallCaps/>
      <w:color w:val="auto"/>
      <w:u w:val="single"/>
    </w:rPr>
  </w:style>
  <w:style w:type="character" w:styleId="IntenseReference">
    <w:name w:val="Intense Reference"/>
    <w:basedOn w:val="DefaultParagraphFont"/>
    <w:uiPriority w:val="32"/>
    <w:qFormat/>
    <w:rsid w:val="007C0677"/>
    <w:rPr>
      <w:b/>
      <w:bCs/>
      <w:smallCaps/>
      <w:color w:val="auto"/>
      <w:spacing w:val="5"/>
      <w:u w:val="single"/>
    </w:rPr>
  </w:style>
  <w:style w:type="paragraph" w:customStyle="1" w:styleId="2ColumnHeading">
    <w:name w:val="2Column Heading"/>
    <w:basedOn w:val="BodyText"/>
    <w:qFormat/>
    <w:rsid w:val="007C0677"/>
    <w:pPr>
      <w:spacing w:after="60"/>
      <w:ind w:left="-2268"/>
    </w:pPr>
    <w:rPr>
      <w:b/>
    </w:rPr>
  </w:style>
  <w:style w:type="paragraph" w:customStyle="1" w:styleId="Heading1TOC">
    <w:name w:val="Heading1 TOC"/>
    <w:basedOn w:val="Normal"/>
    <w:qFormat/>
    <w:rsid w:val="007C0677"/>
    <w:pPr>
      <w:spacing w:before="240" w:after="120"/>
    </w:pPr>
    <w:rPr>
      <w:rFonts w:ascii="Times New Roman" w:hAnsi="Times New Roman"/>
      <w:b/>
      <w:sz w:val="32"/>
    </w:rPr>
  </w:style>
  <w:style w:type="paragraph" w:customStyle="1" w:styleId="Heading2TOC">
    <w:name w:val="Heading2 TOC"/>
    <w:basedOn w:val="Normal"/>
    <w:qFormat/>
    <w:rsid w:val="007C0677"/>
    <w:pPr>
      <w:spacing w:before="240" w:after="60"/>
    </w:pPr>
    <w:rPr>
      <w:rFonts w:ascii="Times New Roman" w:hAnsi="Times New Roman"/>
      <w:b/>
      <w:sz w:val="28"/>
    </w:rPr>
  </w:style>
  <w:style w:type="character" w:customStyle="1" w:styleId="Underline">
    <w:name w:val="Underline"/>
    <w:basedOn w:val="DefaultParagraphFont"/>
    <w:qFormat/>
    <w:rsid w:val="007C0677"/>
    <w:rPr>
      <w:u w:val="single"/>
    </w:rPr>
  </w:style>
  <w:style w:type="character" w:customStyle="1" w:styleId="BoldandItalics">
    <w:name w:val="Bold and Italics"/>
    <w:qFormat/>
    <w:rsid w:val="007C0677"/>
    <w:rPr>
      <w:b/>
      <w:i/>
      <w:u w:val="none"/>
    </w:rPr>
  </w:style>
  <w:style w:type="paragraph" w:styleId="BalloonText">
    <w:name w:val="Balloon Text"/>
    <w:basedOn w:val="Normal"/>
    <w:link w:val="BalloonTextChar"/>
    <w:rsid w:val="007C0677"/>
    <w:rPr>
      <w:rFonts w:ascii="Tahoma" w:hAnsi="Tahoma" w:cs="Tahoma"/>
      <w:sz w:val="16"/>
      <w:szCs w:val="16"/>
    </w:rPr>
  </w:style>
  <w:style w:type="character" w:customStyle="1" w:styleId="BalloonTextChar">
    <w:name w:val="Balloon Text Char"/>
    <w:basedOn w:val="DefaultParagraphFont"/>
    <w:link w:val="BalloonText"/>
    <w:rsid w:val="007C06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06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06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745</Words>
  <Characters>4763</Characters>
  <Application>Microsoft Office Word</Application>
  <DocSecurity>0</DocSecurity>
  <Lines>200</Lines>
  <Paragraphs>97</Paragraphs>
  <ScaleCrop>false</ScaleCrop>
  <Company>Author-it Software Corporation Ltd.</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AHCCHM401A Minimise risks in the use of chemicals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2012-05-26T12:49:00Z</dcterms:created>
  <dcterms:modified xsi:type="dcterms:W3CDTF">2012-05-26T12:49:00Z</dcterms:modified>
</cp:coreProperties>
</file>