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35AA0" w:rsidP="00235AA0">
      <w:pPr>
        <w:pStyle w:val="Title"/>
      </w:pPr>
      <w:r>
        <w:fldChar w:fldCharType="begin"/>
      </w:r>
      <w:r>
        <w:instrText xml:space="preserve"> TITLE   \* MERGEFORMAT </w:instrText>
      </w:r>
      <w:r>
        <w:fldChar w:fldCharType="separate"/>
      </w:r>
      <w:r>
        <w:t>AHCASW305A Work with Aboriginal ceremonial secret sacred materials</w:t>
      </w:r>
      <w:r>
        <w:fldChar w:fldCharType="end"/>
      </w:r>
    </w:p>
    <w:p w:rsidR="00235AA0" w:rsidP="00235AA0">
      <w:pPr>
        <w:pStyle w:val="Version"/>
        <w:sectPr w:rsidSect="001A66E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66E4" w:rsidP="001A66E4">
      <w:pPr>
        <w:pStyle w:val="SuperHeading"/>
      </w:pPr>
      <w:r w:rsidRPr="001A66E4">
        <w:t>AHCASW305A Work with Aboriginal ceremonial secret sacred materials</w:t>
      </w:r>
    </w:p>
    <w:p w:rsidR="00000000" w:rsidRPr="001A66E4" w:rsidP="001A66E4">
      <w:pPr>
        <w:pStyle w:val="Heading1"/>
      </w:pPr>
      <w:bookmarkStart w:id="1" w:name="O_520955"/>
      <w:bookmarkEnd w:id="1"/>
      <w:r w:rsidRPr="001A66E4">
        <w:t>Modification History</w:t>
      </w:r>
    </w:p>
    <w:tbl>
      <w:tblPr>
        <w:tblW w:w="0" w:type="auto"/>
        <w:tblLayout w:type="fixed"/>
        <w:tblCellMar>
          <w:left w:w="62" w:type="dxa"/>
          <w:right w:w="62" w:type="dxa"/>
        </w:tblCellMar>
        <w:tblLook w:val="0000"/>
      </w:tblPr>
      <w:tblGrid>
        <w:gridCol w:w="1803"/>
        <w:gridCol w:w="2247"/>
        <w:gridCol w:w="5084"/>
      </w:tblGrid>
      <w:tr w:rsidTr="00235AA0">
        <w:tblPrEx>
          <w:tblW w:w="0" w:type="auto"/>
          <w:tblLayout w:type="fixed"/>
          <w:tblCellMar>
            <w:left w:w="62" w:type="dxa"/>
            <w:right w:w="62" w:type="dxa"/>
          </w:tblCellMar>
          <w:tblLook w:val="0000"/>
        </w:tblPrEx>
        <w:trPr>
          <w:tblHeader/>
        </w:trPr>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6E4" w:rsidP="001A66E4">
            <w:pPr>
              <w:pStyle w:val="BodyText"/>
            </w:pPr>
            <w:r w:rsidRPr="001A66E4">
              <w:rPr>
                <w:rStyle w:val="SpecialBold"/>
              </w:rPr>
              <w:t>Release</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6E4" w:rsidP="001A66E4">
            <w:pPr>
              <w:pStyle w:val="BodyText"/>
            </w:pPr>
            <w:r w:rsidRPr="001A66E4">
              <w:rPr>
                <w:rStyle w:val="SpecialBold"/>
              </w:rPr>
              <w:t>TP Version</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6E4">
            <w:pPr>
              <w:pStyle w:val="BodyText"/>
              <w:rPr>
                <w:lang w:val="en-NZ"/>
              </w:rPr>
            </w:pPr>
            <w:r w:rsidRPr="001A66E4">
              <w:rPr>
                <w:rStyle w:val="SpecialBold"/>
              </w:rPr>
              <w:t>Comments</w:t>
            </w:r>
          </w:p>
        </w:tc>
      </w:tr>
      <w:tr w:rsidTr="00235AA0">
        <w:tblPrEx>
          <w:tblW w:w="0" w:type="auto"/>
          <w:tblLayout w:type="fixed"/>
          <w:tblCellMar>
            <w:left w:w="62" w:type="dxa"/>
            <w:right w:w="62" w:type="dxa"/>
          </w:tblCellMar>
          <w:tblLook w:val="0000"/>
        </w:tblPrEx>
        <w:tc>
          <w:tcPr>
            <w:tcW w:w="180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6E4">
            <w:pPr>
              <w:pStyle w:val="BodyText"/>
              <w:rPr>
                <w:lang w:val="en-NZ"/>
              </w:rPr>
            </w:pPr>
            <w:r w:rsidRPr="001A66E4">
              <w:t>1</w:t>
            </w:r>
          </w:p>
        </w:tc>
        <w:tc>
          <w:tcPr>
            <w:tcW w:w="22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66E4">
            <w:pPr>
              <w:pStyle w:val="BodyText"/>
              <w:rPr>
                <w:lang w:val="en-NZ"/>
              </w:rPr>
            </w:pPr>
            <w:r w:rsidRPr="001A66E4">
              <w:t>AHC10v5</w:t>
            </w:r>
          </w:p>
        </w:tc>
        <w:tc>
          <w:tcPr>
            <w:tcW w:w="5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66E4" w:rsidP="001A66E4">
            <w:pPr>
              <w:pStyle w:val="BodyText"/>
            </w:pPr>
            <w:r w:rsidRPr="001A66E4">
              <w:t>Initial release</w:t>
            </w:r>
          </w:p>
        </w:tc>
      </w:tr>
    </w:tbl>
    <w:p w:rsidR="00000000" w:rsidRPr="001A66E4" w:rsidP="001A66E4">
      <w:pPr>
        <w:pStyle w:val="BodyText"/>
      </w:pPr>
    </w:p>
    <w:p w:rsidR="00000000" w:rsidRPr="001A66E4" w:rsidP="001A66E4">
      <w:pPr>
        <w:pStyle w:val="AllowPageBreak"/>
      </w:pPr>
    </w:p>
    <w:p w:rsidR="00000000" w:rsidRPr="001A66E4" w:rsidP="001A66E4">
      <w:pPr>
        <w:pStyle w:val="Heading1"/>
      </w:pPr>
      <w:bookmarkStart w:id="2" w:name="O_520956"/>
      <w:bookmarkEnd w:id="2"/>
      <w:r w:rsidRPr="001A66E4">
        <w:t>Unit Descriptor</w:t>
      </w:r>
    </w:p>
    <w:p w:rsidR="00000000" w:rsidRPr="001A66E4" w:rsidP="001A66E4">
      <w:pPr>
        <w:pStyle w:val="BodyText"/>
      </w:pPr>
      <w:r w:rsidRPr="001A66E4">
        <w:t>This unit provides an awareness of the protocols involved in Aboriginal culture as these relate to individuals and communities, specifically in relation to materials with restrictions on access for cultural reasons. The unit covers Community cultural proce</w:t>
      </w:r>
      <w:r w:rsidRPr="001A66E4">
        <w:t>sses including the need to identify the appropriate person/s when approaching a Community and the cultural and social rules associated with that task.</w:t>
      </w:r>
    </w:p>
    <w:p w:rsidR="00000000" w:rsidRPr="001A66E4" w:rsidP="001A66E4">
      <w:pPr>
        <w:pStyle w:val="AllowPageBreak"/>
      </w:pPr>
    </w:p>
    <w:p w:rsidR="00000000" w:rsidRPr="001A66E4" w:rsidP="001A66E4">
      <w:pPr>
        <w:pStyle w:val="Heading1"/>
      </w:pPr>
      <w:bookmarkStart w:id="3" w:name="O_520957"/>
      <w:bookmarkEnd w:id="3"/>
      <w:r w:rsidRPr="001A66E4">
        <w:t>Application of the Unit</w:t>
      </w:r>
    </w:p>
    <w:p w:rsidR="00000000" w:rsidRPr="001A66E4" w:rsidP="001A66E4">
      <w:pPr>
        <w:pStyle w:val="BodyText"/>
      </w:pPr>
      <w:r w:rsidRPr="001A66E4">
        <w:t>This unit applies to following Aboriginal cultural protocols when coming into contact and working with cultural materials defined as Aboriginal ceremonial secret sacred objects. The unit applies to working with this material on Country and off Country wher</w:t>
      </w:r>
      <w:r w:rsidRPr="001A66E4">
        <w:t>e rules apply to limited access to the material for cultural and ceremonial reasons. This unit is also applicable to the work of repatriation workers and anthropologists. This unit applies to all Aboriginal-sites workers. Cultural beliefs and practices var</w:t>
      </w:r>
      <w:r w:rsidRPr="001A66E4">
        <w:t>y across locations and communities however and in some situations non-Aboriginal learners may not be able to access the cultural knowledge and/or materials required to achieve competency in this unit. This applies when restrictions are applied to non-Abori</w:t>
      </w:r>
      <w:r w:rsidRPr="001A66E4">
        <w:t>ginal people gaining access to cultural knowledge, material or sites. In these situations the Registered Training Organisation will have to make alternative arrangements for learners that are still consistent with the delivery and assessment requirements f</w:t>
      </w:r>
      <w:r w:rsidRPr="001A66E4">
        <w:t>or this unit.</w:t>
      </w:r>
    </w:p>
    <w:p w:rsidR="00000000" w:rsidRPr="001A66E4" w:rsidP="001A66E4">
      <w:pPr>
        <w:pStyle w:val="AllowPageBreak"/>
      </w:pPr>
    </w:p>
    <w:p w:rsidR="00000000" w:rsidRPr="001A66E4" w:rsidP="001A66E4">
      <w:pPr>
        <w:pStyle w:val="Heading1"/>
      </w:pPr>
      <w:bookmarkStart w:id="4" w:name="O_520958"/>
      <w:bookmarkEnd w:id="4"/>
      <w:r w:rsidRPr="001A66E4">
        <w:t>Licensing/Regulatory Information</w:t>
      </w:r>
    </w:p>
    <w:p w:rsidR="00000000" w:rsidRPr="001A66E4" w:rsidP="001A66E4">
      <w:pPr>
        <w:pStyle w:val="BodyText"/>
      </w:pPr>
      <w:r w:rsidRPr="001A66E4">
        <w:t>No licensing, legislative, regulatory or certification requirements apply to this unit at the time of endorsement.</w:t>
      </w:r>
    </w:p>
    <w:p w:rsidR="00000000" w:rsidRPr="001A66E4" w:rsidP="001A66E4">
      <w:pPr>
        <w:pStyle w:val="AllowPageBreak"/>
      </w:pPr>
    </w:p>
    <w:p w:rsidR="00000000" w:rsidRPr="001A66E4" w:rsidP="001A66E4">
      <w:pPr>
        <w:pStyle w:val="Heading1"/>
      </w:pPr>
      <w:bookmarkStart w:id="5" w:name="O_520959"/>
      <w:bookmarkEnd w:id="5"/>
      <w:r w:rsidRPr="001A66E4">
        <w:t>Pre-Requisites</w:t>
      </w:r>
    </w:p>
    <w:p w:rsidR="00000000" w:rsidRPr="001A66E4" w:rsidP="001A66E4">
      <w:pPr>
        <w:pStyle w:val="BodyText"/>
      </w:pPr>
      <w:r w:rsidRPr="001A66E4">
        <w:t>AHCILM306A</w:t>
      </w:r>
      <w:r w:rsidRPr="001A66E4">
        <w:tab/>
        <w:t>Follow Aboriginal cultural protoco</w:t>
      </w:r>
      <w:r w:rsidRPr="001A66E4">
        <w:t>ls</w:t>
      </w:r>
    </w:p>
    <w:p w:rsidR="00000000" w:rsidRPr="001A66E4" w:rsidP="001A66E4">
      <w:pPr>
        <w:pStyle w:val="AllowPageBreak"/>
      </w:pPr>
    </w:p>
    <w:p w:rsidR="00000000" w:rsidRPr="001A66E4" w:rsidP="001A66E4">
      <w:pPr>
        <w:pStyle w:val="Heading1"/>
      </w:pPr>
      <w:bookmarkStart w:id="6" w:name="O_520960"/>
      <w:bookmarkEnd w:id="6"/>
      <w:r w:rsidRPr="001A66E4">
        <w:t>Employability Skills Information</w:t>
      </w:r>
    </w:p>
    <w:p w:rsidR="00000000" w:rsidRPr="001A66E4" w:rsidP="001A66E4">
      <w:pPr>
        <w:pStyle w:val="BodyText"/>
      </w:pPr>
      <w:r w:rsidRPr="001A66E4">
        <w:t>This unit contains employability skills</w:t>
      </w:r>
    </w:p>
    <w:p w:rsidR="00000000" w:rsidRPr="001A66E4" w:rsidP="001A66E4">
      <w:pPr>
        <w:pStyle w:val="AllowPageBreak"/>
      </w:pPr>
    </w:p>
    <w:p w:rsidR="00000000" w:rsidRPr="001A66E4" w:rsidP="001A66E4">
      <w:pPr>
        <w:pStyle w:val="Heading1"/>
      </w:pPr>
      <w:bookmarkStart w:id="7" w:name="O_520961"/>
      <w:bookmarkEnd w:id="7"/>
      <w:r w:rsidRPr="001A66E4">
        <w:t>Elements and Performance Criteria Pre-Content</w:t>
      </w:r>
    </w:p>
    <w:tbl>
      <w:tblPr>
        <w:tblW w:w="9357" w:type="dxa"/>
        <w:tblLayout w:type="fixed"/>
        <w:tblCellMar>
          <w:left w:w="62" w:type="dxa"/>
          <w:right w:w="62" w:type="dxa"/>
        </w:tblCellMar>
        <w:tblLook w:val="0000"/>
      </w:tblPr>
      <w:tblGrid>
        <w:gridCol w:w="2695"/>
        <w:gridCol w:w="6662"/>
      </w:tblGrid>
      <w:tr w:rsidTr="001A66E4">
        <w:tblPrEx>
          <w:tblW w:w="9357" w:type="dxa"/>
          <w:tblLayout w:type="fixed"/>
          <w:tblCellMar>
            <w:left w:w="62" w:type="dxa"/>
            <w:right w:w="62" w:type="dxa"/>
          </w:tblCellMar>
          <w:tblLook w:val="0000"/>
        </w:tblPrEx>
        <w:tc>
          <w:tcPr>
            <w:tcW w:w="2695" w:type="dxa"/>
            <w:tcBorders>
              <w:top w:val="nil"/>
              <w:left w:val="nil"/>
              <w:bottom w:val="nil"/>
              <w:right w:val="nil"/>
            </w:tcBorders>
            <w:tcMar>
              <w:top w:w="0" w:type="dxa"/>
              <w:left w:w="62" w:type="dxa"/>
              <w:bottom w:w="0" w:type="dxa"/>
              <w:right w:w="62" w:type="dxa"/>
            </w:tcMar>
          </w:tcPr>
          <w:p w:rsidR="00000000" w:rsidP="001A66E4">
            <w:pPr>
              <w:pStyle w:val="BodyText"/>
              <w:rPr>
                <w:lang w:val="en-NZ"/>
              </w:rPr>
            </w:pPr>
            <w:r w:rsidRPr="001A66E4">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1A66E4" w:rsidP="001A66E4">
            <w:pPr>
              <w:pStyle w:val="BodyText"/>
            </w:pPr>
            <w:r w:rsidRPr="001A66E4">
              <w:t xml:space="preserve">Performance criteria describe the </w:t>
            </w:r>
            <w:r w:rsidRPr="001A66E4">
              <w:t>performance needed to demonstrate achievement of the element. Where bold italicised text is used, further information is detailed in the required skills and knowledge section and the range statement. Assessment of performance is to be consistent with the e</w:t>
            </w:r>
            <w:r w:rsidRPr="001A66E4">
              <w:t>vidence guide.</w:t>
            </w:r>
          </w:p>
        </w:tc>
      </w:tr>
    </w:tbl>
    <w:p w:rsidR="00000000" w:rsidRPr="001A66E4" w:rsidP="001A66E4">
      <w:pPr>
        <w:pStyle w:val="BodyText"/>
      </w:pPr>
    </w:p>
    <w:p w:rsidR="00000000" w:rsidRPr="001A66E4" w:rsidP="001A66E4">
      <w:pPr>
        <w:pStyle w:val="AllowPageBreak"/>
      </w:pPr>
    </w:p>
    <w:p w:rsidR="00000000" w:rsidRPr="001A66E4" w:rsidP="001A66E4">
      <w:pPr>
        <w:pStyle w:val="Heading1"/>
      </w:pPr>
      <w:bookmarkStart w:id="8" w:name="O_520962"/>
      <w:bookmarkEnd w:id="8"/>
      <w:r w:rsidRPr="001A66E4">
        <w:t>Elements and Performance Criteria</w:t>
      </w:r>
    </w:p>
    <w:tbl>
      <w:tblPr>
        <w:tblW w:w="9356" w:type="dxa"/>
        <w:tblLayout w:type="fixed"/>
        <w:tblCellMar>
          <w:left w:w="62" w:type="dxa"/>
          <w:right w:w="62" w:type="dxa"/>
        </w:tblCellMar>
        <w:tblLook w:val="0000"/>
      </w:tblPr>
      <w:tblGrid>
        <w:gridCol w:w="2694"/>
        <w:gridCol w:w="6662"/>
      </w:tblGrid>
      <w:tr w:rsidTr="00235AA0">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A66E4">
            <w:pPr>
              <w:pStyle w:val="TableHeading"/>
              <w:rPr>
                <w:lang w:val="en-NZ"/>
              </w:rPr>
            </w:pPr>
            <w:r w:rsidRPr="001A66E4">
              <w:t>ELEMENT</w:t>
            </w:r>
          </w:p>
        </w:tc>
        <w:tc>
          <w:tcPr>
            <w:tcW w:w="6662" w:type="dxa"/>
            <w:tcBorders>
              <w:top w:val="nil"/>
              <w:left w:val="nil"/>
              <w:bottom w:val="nil"/>
              <w:right w:val="nil"/>
            </w:tcBorders>
            <w:tcMar>
              <w:top w:w="0" w:type="dxa"/>
              <w:left w:w="62" w:type="dxa"/>
              <w:bottom w:w="0" w:type="dxa"/>
              <w:right w:w="62" w:type="dxa"/>
            </w:tcMar>
          </w:tcPr>
          <w:p w:rsidR="00000000" w:rsidP="001A66E4">
            <w:pPr>
              <w:pStyle w:val="TableHeading"/>
              <w:rPr>
                <w:lang w:val="en-NZ"/>
              </w:rPr>
            </w:pPr>
            <w:r w:rsidRPr="001A66E4">
              <w:t>PERFORMANCE CRITERIA</w:t>
            </w:r>
          </w:p>
        </w:tc>
      </w:tr>
      <w:tr w:rsidTr="00235AA0">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A66E4">
            <w:pPr>
              <w:pStyle w:val="List"/>
              <w:rPr>
                <w:lang w:val="en-NZ"/>
              </w:rPr>
            </w:pPr>
            <w:r w:rsidRPr="001A66E4">
              <w:t>1.</w:t>
            </w:r>
            <w:r w:rsidRPr="001A66E4">
              <w:tab/>
              <w:t>Conduct background research and consultation with Traditional Owners, Community, Cultural Managers/Knowledge holders</w:t>
            </w:r>
          </w:p>
        </w:tc>
        <w:tc>
          <w:tcPr>
            <w:tcW w:w="6662" w:type="dxa"/>
            <w:tcBorders>
              <w:top w:val="nil"/>
              <w:left w:val="nil"/>
              <w:bottom w:val="nil"/>
              <w:right w:val="nil"/>
            </w:tcBorders>
            <w:tcMar>
              <w:top w:w="0" w:type="dxa"/>
              <w:left w:w="62" w:type="dxa"/>
              <w:bottom w:w="0" w:type="dxa"/>
              <w:right w:w="62" w:type="dxa"/>
            </w:tcMar>
          </w:tcPr>
          <w:p w:rsidR="00000000" w:rsidRPr="001A66E4" w:rsidP="001A66E4">
            <w:pPr>
              <w:pStyle w:val="List"/>
            </w:pPr>
            <w:r w:rsidRPr="001A66E4">
              <w:t>1.1</w:t>
            </w:r>
            <w:r w:rsidRPr="001A66E4">
              <w:tab/>
              <w:t xml:space="preserve">Traditional ownership of </w:t>
            </w:r>
            <w:r w:rsidRPr="001A66E4">
              <w:rPr>
                <w:rStyle w:val="BoldandItalics"/>
              </w:rPr>
              <w:t>cultural material</w:t>
            </w:r>
            <w:r w:rsidRPr="001A66E4">
              <w:t xml:space="preserve">  and </w:t>
            </w:r>
            <w:r w:rsidRPr="001A66E4">
              <w:rPr>
                <w:rStyle w:val="BoldandItalics"/>
              </w:rPr>
              <w:t>objects</w:t>
            </w:r>
            <w:r w:rsidRPr="001A66E4">
              <w:t xml:space="preserve"> is confirmed and appropriate Owners/Cultural Managers and Communities are consulted</w:t>
            </w:r>
          </w:p>
          <w:p w:rsidR="00000000" w:rsidRPr="001A66E4" w:rsidP="001A66E4">
            <w:pPr>
              <w:pStyle w:val="List"/>
            </w:pPr>
            <w:r w:rsidRPr="001A66E4">
              <w:t>1.2</w:t>
            </w:r>
            <w:r w:rsidRPr="001A66E4">
              <w:tab/>
              <w:t xml:space="preserve">Gender requirements for consultations, handling of and access to materials are identified according to </w:t>
            </w:r>
            <w:r w:rsidRPr="001A66E4">
              <w:rPr>
                <w:rStyle w:val="BoldandItalics"/>
              </w:rPr>
              <w:t>Aboriginal cultural protocols</w:t>
            </w:r>
          </w:p>
          <w:p w:rsidR="00000000" w:rsidRPr="001A66E4" w:rsidP="001A66E4">
            <w:pPr>
              <w:pStyle w:val="List"/>
            </w:pPr>
            <w:r w:rsidRPr="001A66E4">
              <w:t>1.3</w:t>
            </w:r>
            <w:r w:rsidRPr="001A66E4">
              <w:tab/>
            </w:r>
            <w:r w:rsidRPr="001A66E4">
              <w:t>Consultation with Traditional Owner/s, Community groups and experts to determine suitable holding for materials not authorised for general exhibition is undertaken</w:t>
            </w:r>
          </w:p>
          <w:p w:rsidR="00000000" w:rsidRPr="001A66E4" w:rsidP="001A66E4">
            <w:pPr>
              <w:pStyle w:val="List"/>
            </w:pPr>
            <w:r w:rsidRPr="001A66E4">
              <w:t>1.4</w:t>
            </w:r>
            <w:r w:rsidRPr="001A66E4">
              <w:tab/>
              <w:t xml:space="preserve">Permissions from </w:t>
            </w:r>
            <w:r w:rsidRPr="001A66E4">
              <w:rPr>
                <w:rStyle w:val="BoldandItalics"/>
              </w:rPr>
              <w:t>cultural authorities</w:t>
            </w:r>
            <w:r w:rsidRPr="001A66E4">
              <w:t xml:space="preserve"> for access and use of Aboriginal secret, sacred an</w:t>
            </w:r>
            <w:r w:rsidRPr="001A66E4">
              <w:t>d ceremonial materials are sought and obtained</w:t>
            </w:r>
          </w:p>
          <w:p w:rsidR="00000000" w:rsidRPr="001A66E4" w:rsidP="001A66E4">
            <w:pPr>
              <w:pStyle w:val="List"/>
            </w:pPr>
            <w:r w:rsidRPr="001A66E4">
              <w:t>1.5</w:t>
            </w:r>
            <w:r w:rsidRPr="001A66E4">
              <w:tab/>
              <w:t xml:space="preserve">Consultation with Community to determine culturally appropriate approaches to handling of material and any </w:t>
            </w:r>
            <w:r w:rsidRPr="001A66E4">
              <w:rPr>
                <w:rStyle w:val="BoldandItalics"/>
              </w:rPr>
              <w:t>limitations</w:t>
            </w:r>
            <w:r w:rsidRPr="001A66E4">
              <w:t xml:space="preserve"> on access to materials is undertaken</w:t>
            </w:r>
          </w:p>
          <w:p w:rsidR="00000000" w:rsidP="001A66E4">
            <w:pPr>
              <w:pStyle w:val="List"/>
              <w:rPr>
                <w:lang w:val="en-NZ"/>
              </w:rPr>
            </w:pPr>
            <w:r w:rsidRPr="001A66E4">
              <w:t>1.6</w:t>
            </w:r>
            <w:r w:rsidRPr="001A66E4">
              <w:tab/>
              <w:t>Confidentiality and neutrality in consultatio</w:t>
            </w:r>
            <w:r w:rsidRPr="001A66E4">
              <w:t>ns and dealings with Traditional Owners and Cultural Managers is demonstrated</w:t>
            </w:r>
          </w:p>
        </w:tc>
      </w:tr>
      <w:tr w:rsidTr="00235AA0">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A66E4">
            <w:pPr>
              <w:pStyle w:val="List"/>
              <w:rPr>
                <w:lang w:val="en-NZ"/>
              </w:rPr>
            </w:pPr>
            <w:r w:rsidRPr="001A66E4">
              <w:t>2.</w:t>
            </w:r>
            <w:r w:rsidRPr="001A66E4">
              <w:tab/>
              <w:t>Handle Aboriginal secret sacred cultural material</w:t>
            </w:r>
          </w:p>
        </w:tc>
        <w:tc>
          <w:tcPr>
            <w:tcW w:w="6662" w:type="dxa"/>
            <w:tcBorders>
              <w:top w:val="nil"/>
              <w:left w:val="nil"/>
              <w:bottom w:val="nil"/>
              <w:right w:val="nil"/>
            </w:tcBorders>
            <w:tcMar>
              <w:top w:w="0" w:type="dxa"/>
              <w:left w:w="62" w:type="dxa"/>
              <w:bottom w:w="0" w:type="dxa"/>
              <w:right w:w="62" w:type="dxa"/>
            </w:tcMar>
          </w:tcPr>
          <w:p w:rsidR="00000000" w:rsidRPr="001A66E4" w:rsidP="001A66E4">
            <w:pPr>
              <w:pStyle w:val="List"/>
            </w:pPr>
            <w:r w:rsidRPr="001A66E4">
              <w:t>2.1</w:t>
            </w:r>
            <w:r w:rsidRPr="001A66E4">
              <w:tab/>
              <w:t xml:space="preserve">Any ceremony and/or procedure associated with seeing, handling and/or moving the material is allowed for and/or carried </w:t>
            </w:r>
            <w:r w:rsidRPr="001A66E4">
              <w:t>out</w:t>
            </w:r>
          </w:p>
          <w:p w:rsidR="00000000" w:rsidRPr="001A66E4" w:rsidP="001A66E4">
            <w:pPr>
              <w:pStyle w:val="List"/>
            </w:pPr>
            <w:r w:rsidRPr="001A66E4">
              <w:t>2.2</w:t>
            </w:r>
            <w:r w:rsidRPr="001A66E4">
              <w:tab/>
              <w:t xml:space="preserve">Cultural material is identified, moved, stored, maintained and returned according to </w:t>
            </w:r>
            <w:r w:rsidRPr="001A66E4">
              <w:rPr>
                <w:rStyle w:val="BoldandItalics"/>
              </w:rPr>
              <w:t>Aboriginal cultural requirements</w:t>
            </w:r>
            <w:r w:rsidRPr="001A66E4">
              <w:t xml:space="preserve"> and agreements entered into</w:t>
            </w:r>
          </w:p>
          <w:p w:rsidR="00000000" w:rsidRPr="001A66E4" w:rsidP="001A66E4">
            <w:pPr>
              <w:pStyle w:val="List"/>
            </w:pPr>
            <w:r w:rsidRPr="001A66E4">
              <w:t>2.3</w:t>
            </w:r>
            <w:r w:rsidRPr="001A66E4">
              <w:tab/>
            </w:r>
            <w:r w:rsidRPr="001A66E4">
              <w:t>Aspects of cultural material requiring repair or attention are noted and passed onto supervisor or person with relevant expertise</w:t>
            </w:r>
          </w:p>
          <w:p w:rsidR="00000000" w:rsidRPr="001A66E4" w:rsidP="001A66E4">
            <w:pPr>
              <w:pStyle w:val="List"/>
            </w:pPr>
            <w:r w:rsidRPr="001A66E4">
              <w:t>2.4</w:t>
            </w:r>
            <w:r w:rsidRPr="001A66E4">
              <w:tab/>
              <w:t>Action within scope of own job role is taken or referred to relevant personnel as required</w:t>
            </w:r>
          </w:p>
          <w:p w:rsidR="00000000" w:rsidRPr="001A66E4" w:rsidP="001A66E4">
            <w:pPr>
              <w:pStyle w:val="List"/>
            </w:pPr>
            <w:r w:rsidRPr="001A66E4">
              <w:t>2.5</w:t>
            </w:r>
            <w:r w:rsidRPr="001A66E4">
              <w:tab/>
              <w:t>Specific Aboriginal cultura</w:t>
            </w:r>
            <w:r w:rsidRPr="001A66E4">
              <w:t>l requirements are communicated to colleagues</w:t>
            </w:r>
          </w:p>
          <w:p w:rsidR="00000000" w:rsidRPr="001A66E4" w:rsidP="001A66E4">
            <w:pPr>
              <w:pStyle w:val="List"/>
            </w:pPr>
            <w:r w:rsidRPr="001A66E4">
              <w:t>2.6</w:t>
            </w:r>
            <w:r w:rsidRPr="001A66E4">
              <w:tab/>
              <w:t>Appropriate handling and moving equipment is selected and used safely</w:t>
            </w:r>
          </w:p>
          <w:p w:rsidR="00000000" w:rsidRPr="001A66E4" w:rsidP="001A66E4">
            <w:pPr>
              <w:pStyle w:val="List"/>
            </w:pPr>
            <w:r w:rsidRPr="001A66E4">
              <w:t>2.7</w:t>
            </w:r>
            <w:r w:rsidRPr="001A66E4">
              <w:tab/>
              <w:t>Adherence to cultural restrictions and limitations on secret, sacred and ceremonial material is observed</w:t>
            </w:r>
          </w:p>
          <w:p w:rsidR="00000000" w:rsidP="001A66E4">
            <w:pPr>
              <w:pStyle w:val="List"/>
              <w:rPr>
                <w:lang w:val="en-NZ"/>
              </w:rPr>
            </w:pPr>
            <w:r w:rsidRPr="001A66E4">
              <w:t>2.8</w:t>
            </w:r>
            <w:r w:rsidRPr="001A66E4">
              <w:tab/>
              <w:t>The handling of cultura</w:t>
            </w:r>
            <w:r w:rsidRPr="001A66E4">
              <w:t>l material in a manner that protects individual items and assists efficient loading and unloading processes if moving is demonstrated</w:t>
            </w:r>
          </w:p>
        </w:tc>
      </w:tr>
      <w:tr w:rsidTr="00235AA0">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A66E4">
            <w:pPr>
              <w:pStyle w:val="List"/>
              <w:rPr>
                <w:lang w:val="en-NZ"/>
              </w:rPr>
            </w:pPr>
            <w:r w:rsidRPr="001A66E4">
              <w:t>3.</w:t>
            </w:r>
            <w:r w:rsidRPr="001A66E4">
              <w:tab/>
              <w:t>Contribute to a third party storage agreement for holding secret sacred material</w:t>
            </w:r>
          </w:p>
        </w:tc>
        <w:tc>
          <w:tcPr>
            <w:tcW w:w="6662" w:type="dxa"/>
            <w:tcBorders>
              <w:top w:val="nil"/>
              <w:left w:val="nil"/>
              <w:bottom w:val="nil"/>
              <w:right w:val="nil"/>
            </w:tcBorders>
            <w:tcMar>
              <w:top w:w="0" w:type="dxa"/>
              <w:left w:w="62" w:type="dxa"/>
              <w:bottom w:w="0" w:type="dxa"/>
              <w:right w:w="62" w:type="dxa"/>
            </w:tcMar>
          </w:tcPr>
          <w:p w:rsidR="00000000" w:rsidRPr="001A66E4" w:rsidP="001A66E4">
            <w:pPr>
              <w:pStyle w:val="List"/>
            </w:pPr>
            <w:r w:rsidRPr="001A66E4">
              <w:t>3.1</w:t>
            </w:r>
            <w:r w:rsidRPr="001A66E4">
              <w:tab/>
            </w:r>
            <w:r w:rsidRPr="001A66E4">
              <w:t>Arrangements for ensuring ongoing consultation and maintenance of relationships with the Traditional Owners/Cultural Managers are established</w:t>
            </w:r>
          </w:p>
          <w:p w:rsidR="00000000" w:rsidRPr="001A66E4" w:rsidP="001A66E4">
            <w:pPr>
              <w:pStyle w:val="List"/>
            </w:pPr>
            <w:r w:rsidRPr="001A66E4">
              <w:t>3.2</w:t>
            </w:r>
            <w:r w:rsidRPr="001A66E4">
              <w:tab/>
              <w:t>The term of the agreement for holding/storing materials is established</w:t>
            </w:r>
          </w:p>
          <w:p w:rsidR="00000000" w:rsidRPr="001A66E4" w:rsidP="001A66E4">
            <w:pPr>
              <w:pStyle w:val="List"/>
            </w:pPr>
            <w:r w:rsidRPr="001A66E4">
              <w:t>3.3</w:t>
            </w:r>
            <w:r w:rsidRPr="001A66E4">
              <w:rPr>
                <w:rStyle w:val="BoldandItalics"/>
              </w:rPr>
              <w:tab/>
              <w:t xml:space="preserve">Specific requirements </w:t>
            </w:r>
            <w:r w:rsidRPr="001A66E4">
              <w:t>for, quaranti</w:t>
            </w:r>
            <w:r w:rsidRPr="001A66E4">
              <w:t>ne procedures, condition reporting and conservation, security arrangements, cyclical auditing, environmental monitoring, database management are established and documented</w:t>
            </w:r>
          </w:p>
          <w:p w:rsidR="00000000" w:rsidRPr="001A66E4" w:rsidP="001A66E4">
            <w:pPr>
              <w:pStyle w:val="List"/>
            </w:pPr>
            <w:r w:rsidRPr="001A66E4">
              <w:t>3.4</w:t>
            </w:r>
            <w:r w:rsidRPr="001A66E4">
              <w:tab/>
              <w:t>An access agreement defining personnel access and conditions of access is establ</w:t>
            </w:r>
            <w:r w:rsidRPr="001A66E4">
              <w:t>ished</w:t>
            </w:r>
          </w:p>
          <w:p w:rsidR="00000000" w:rsidRPr="001A66E4" w:rsidP="001A66E4">
            <w:pPr>
              <w:pStyle w:val="List"/>
            </w:pPr>
            <w:r w:rsidRPr="001A66E4">
              <w:t>3.5</w:t>
            </w:r>
            <w:r w:rsidRPr="001A66E4">
              <w:tab/>
              <w:t>Removal of material from the Keeping Place and any cultural and management protocols to be followed are defined in the access agreement and followed</w:t>
            </w:r>
          </w:p>
          <w:p w:rsidR="00000000" w:rsidP="001A66E4">
            <w:pPr>
              <w:pStyle w:val="List"/>
              <w:rPr>
                <w:lang w:val="en-NZ"/>
              </w:rPr>
            </w:pPr>
            <w:r w:rsidRPr="001A66E4">
              <w:t>3.6</w:t>
            </w:r>
            <w:r w:rsidRPr="001A66E4">
              <w:tab/>
              <w:t>Confidentiality measures for storage, access, display and use of secret, sacred and ceremonia</w:t>
            </w:r>
            <w:r w:rsidRPr="001A66E4">
              <w:t>l materials are followed</w:t>
            </w:r>
          </w:p>
        </w:tc>
      </w:tr>
      <w:tr w:rsidTr="00235AA0">
        <w:tblPrEx>
          <w:tblW w:w="9356" w:type="dxa"/>
          <w:tblLayout w:type="fixed"/>
          <w:tblCellMar>
            <w:left w:w="62" w:type="dxa"/>
            <w:right w:w="62" w:type="dxa"/>
          </w:tblCellMar>
          <w:tblLook w:val="0000"/>
        </w:tblPrEx>
        <w:tc>
          <w:tcPr>
            <w:tcW w:w="2694" w:type="dxa"/>
            <w:tcBorders>
              <w:top w:val="nil"/>
              <w:left w:val="nil"/>
              <w:bottom w:val="nil"/>
              <w:right w:val="nil"/>
            </w:tcBorders>
            <w:tcMar>
              <w:top w:w="0" w:type="dxa"/>
              <w:left w:w="62" w:type="dxa"/>
              <w:bottom w:w="0" w:type="dxa"/>
              <w:right w:w="62" w:type="dxa"/>
            </w:tcMar>
          </w:tcPr>
          <w:p w:rsidR="00000000" w:rsidP="001A66E4">
            <w:pPr>
              <w:pStyle w:val="List"/>
              <w:rPr>
                <w:lang w:val="en-NZ"/>
              </w:rPr>
            </w:pPr>
            <w:r w:rsidRPr="001A66E4">
              <w:t>4.</w:t>
            </w:r>
            <w:r w:rsidRPr="001A66E4">
              <w:tab/>
              <w:t>Contribute to documenting a generational succession plan for passing on ownership of secret sacred material</w:t>
            </w:r>
          </w:p>
        </w:tc>
        <w:tc>
          <w:tcPr>
            <w:tcW w:w="6662" w:type="dxa"/>
            <w:tcBorders>
              <w:top w:val="nil"/>
              <w:left w:val="nil"/>
              <w:bottom w:val="nil"/>
              <w:right w:val="nil"/>
            </w:tcBorders>
            <w:tcMar>
              <w:top w:w="0" w:type="dxa"/>
              <w:left w:w="62" w:type="dxa"/>
              <w:bottom w:w="0" w:type="dxa"/>
              <w:right w:w="62" w:type="dxa"/>
            </w:tcMar>
          </w:tcPr>
          <w:p w:rsidR="00000000" w:rsidRPr="001A66E4" w:rsidP="001A66E4">
            <w:pPr>
              <w:pStyle w:val="List"/>
            </w:pPr>
            <w:r w:rsidRPr="001A66E4">
              <w:t>4.1</w:t>
            </w:r>
            <w:r w:rsidRPr="001A66E4">
              <w:tab/>
              <w:t>Options for inheritance of ownership are discussed with Traditional Owners and/or Elders</w:t>
            </w:r>
          </w:p>
          <w:p w:rsidR="00000000" w:rsidRPr="001A66E4" w:rsidP="001A66E4">
            <w:pPr>
              <w:pStyle w:val="List"/>
            </w:pPr>
            <w:r w:rsidRPr="001A66E4">
              <w:t>4.2</w:t>
            </w:r>
            <w:r w:rsidRPr="001A66E4">
              <w:tab/>
              <w:t>Participate in documen</w:t>
            </w:r>
            <w:r w:rsidRPr="001A66E4">
              <w:t>ting the process, guidelines and timeframes agreeable to Traditional Owners and Cultural managers for handover of ownership, control and access to secret sacred materials</w:t>
            </w:r>
          </w:p>
        </w:tc>
      </w:tr>
    </w:tbl>
    <w:p w:rsidR="00000000" w:rsidRPr="001A66E4" w:rsidP="001A66E4">
      <w:pPr>
        <w:pStyle w:val="BodyText"/>
      </w:pPr>
    </w:p>
    <w:p w:rsidR="00000000" w:rsidRPr="001A66E4" w:rsidP="001A66E4">
      <w:pPr>
        <w:pStyle w:val="AllowPageBreak"/>
      </w:pPr>
    </w:p>
    <w:p w:rsidR="00000000" w:rsidRPr="001A66E4" w:rsidP="001A66E4">
      <w:pPr>
        <w:pStyle w:val="Heading1"/>
      </w:pPr>
      <w:bookmarkStart w:id="9" w:name="O_520963"/>
      <w:bookmarkEnd w:id="9"/>
      <w:r w:rsidRPr="001A66E4">
        <w:t>Required Skills and Knowledge</w:t>
      </w:r>
    </w:p>
    <w:tbl>
      <w:tblPr>
        <w:tblW w:w="0" w:type="auto"/>
        <w:tblCellMar>
          <w:left w:w="62" w:type="dxa"/>
          <w:right w:w="62" w:type="dxa"/>
        </w:tblCellMar>
        <w:tblLook w:val="0000"/>
      </w:tblPr>
      <w:tblGrid>
        <w:gridCol w:w="9196"/>
      </w:tblGrid>
      <w:tr w:rsidTr="00235A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A66E4" w:rsidP="001A66E4">
            <w:pPr>
              <w:pStyle w:val="TableHeading"/>
            </w:pPr>
            <w:r w:rsidRPr="001A66E4">
              <w:t>Required skills include:</w:t>
            </w:r>
          </w:p>
          <w:p w:rsidR="00000000" w:rsidRPr="001A66E4" w:rsidP="001A66E4">
            <w:pPr>
              <w:pStyle w:val="BodyText"/>
            </w:pPr>
            <w:r w:rsidRPr="001A66E4">
              <w:rPr>
                <w:rStyle w:val="SpecialBold"/>
              </w:rPr>
              <w:t>Ability to:</w:t>
            </w:r>
          </w:p>
          <w:p w:rsidR="00000000" w:rsidRPr="001A66E4" w:rsidP="001A66E4">
            <w:pPr>
              <w:pStyle w:val="ListBullet"/>
            </w:pPr>
            <w:r w:rsidRPr="001A66E4">
              <w:t>demonstrate</w:t>
            </w:r>
            <w:r w:rsidRPr="001A66E4">
              <w:rPr>
                <w:rStyle w:val="SpecialBold"/>
              </w:rPr>
              <w:t xml:space="preserve"> </w:t>
            </w:r>
            <w:r w:rsidRPr="001A66E4">
              <w:t>respect for cultural diversity and sensitivity to social, cultural and professional values and beliefs</w:t>
            </w:r>
          </w:p>
          <w:p w:rsidR="00000000" w:rsidRPr="001A66E4" w:rsidP="001A66E4">
            <w:pPr>
              <w:pStyle w:val="ListBullet"/>
            </w:pPr>
            <w:r w:rsidRPr="001A66E4">
              <w:t xml:space="preserve">use cultural sensitivity skills to be sensitive to cultural issues and respectful of different cultural practices </w:t>
            </w:r>
          </w:p>
          <w:p w:rsidR="00000000" w:rsidRPr="001A66E4" w:rsidP="001A66E4">
            <w:pPr>
              <w:pStyle w:val="ListBullet"/>
            </w:pPr>
            <w:r w:rsidRPr="001A66E4">
              <w:t>build and engender trust on sensitive issues with Aboriginal people</w:t>
            </w:r>
          </w:p>
          <w:p w:rsidR="00000000" w:rsidRPr="001A66E4" w:rsidP="001A66E4">
            <w:pPr>
              <w:pStyle w:val="ListBullet"/>
            </w:pPr>
            <w:r w:rsidRPr="001A66E4">
              <w:t>implement Aboriginal cultural protocols</w:t>
            </w:r>
          </w:p>
          <w:p w:rsidR="00000000" w:rsidRPr="001A66E4" w:rsidP="001A66E4">
            <w:pPr>
              <w:pStyle w:val="ListBullet"/>
            </w:pPr>
            <w:r w:rsidRPr="001A66E4">
              <w:t>establish and document agreements</w:t>
            </w:r>
          </w:p>
          <w:p w:rsidR="00000000" w:rsidRPr="001A66E4" w:rsidP="001A66E4">
            <w:pPr>
              <w:pStyle w:val="ListBullet"/>
            </w:pPr>
            <w:r w:rsidRPr="001A66E4">
              <w:t>identify Aboriginal cultural authorities for specific Country in culturally appropriate ways</w:t>
            </w:r>
          </w:p>
          <w:p w:rsidR="00000000" w:rsidRPr="001A66E4" w:rsidP="001A66E4">
            <w:pPr>
              <w:pStyle w:val="ListBullet"/>
            </w:pPr>
            <w:r w:rsidRPr="001A66E4">
              <w:t>use appropriate Abori</w:t>
            </w:r>
            <w:r w:rsidRPr="001A66E4">
              <w:t>ginal cultural protocols for Community consultation</w:t>
            </w:r>
          </w:p>
          <w:p w:rsidR="00000000" w:rsidRPr="001A66E4" w:rsidP="001A66E4">
            <w:pPr>
              <w:pStyle w:val="ListBullet"/>
            </w:pPr>
            <w:r w:rsidRPr="001A66E4">
              <w:t>recognise and administer Aboriginal ownership and intellectual property rights</w:t>
            </w:r>
          </w:p>
          <w:p w:rsidR="00000000" w:rsidRPr="001A66E4" w:rsidP="001A66E4">
            <w:pPr>
              <w:pStyle w:val="ListBullet"/>
            </w:pPr>
            <w:r w:rsidRPr="001A66E4">
              <w:t>access, transfer and use cultural information and material</w:t>
            </w:r>
          </w:p>
          <w:p w:rsidR="00000000" w:rsidRPr="001A66E4" w:rsidP="001A66E4">
            <w:pPr>
              <w:pStyle w:val="ListBullet"/>
            </w:pPr>
            <w:r w:rsidRPr="001A66E4">
              <w:t>use appropriate personal and social protocols</w:t>
            </w:r>
          </w:p>
          <w:p w:rsidR="00000000" w:rsidRPr="001A66E4" w:rsidP="001A66E4">
            <w:pPr>
              <w:pStyle w:val="ListBullet"/>
            </w:pPr>
            <w:r w:rsidRPr="001A66E4">
              <w:t xml:space="preserve">exercise discretion </w:t>
            </w:r>
            <w:r w:rsidRPr="001A66E4">
              <w:t>and confidentiality</w:t>
            </w:r>
          </w:p>
          <w:p w:rsidR="00000000" w:rsidRPr="001A66E4" w:rsidP="001A66E4">
            <w:pPr>
              <w:pStyle w:val="ListBullet"/>
            </w:pPr>
            <w:r w:rsidRPr="001A66E4">
              <w:t>enforce access and confidentiality agreements</w:t>
            </w:r>
          </w:p>
          <w:p w:rsidR="00000000" w:rsidRPr="001A66E4" w:rsidP="001A66E4">
            <w:pPr>
              <w:pStyle w:val="ListBullet"/>
            </w:pPr>
            <w:r w:rsidRPr="001A66E4">
              <w:t>use technology to access written, oral or visual source material</w:t>
            </w:r>
          </w:p>
          <w:p w:rsidR="00000000" w:rsidRPr="001A66E4" w:rsidP="001A66E4">
            <w:pPr>
              <w:pStyle w:val="ListBullet"/>
            </w:pPr>
            <w:r w:rsidRPr="001A66E4">
              <w:t>conduct library and internet research</w:t>
            </w:r>
          </w:p>
          <w:p w:rsidR="00000000" w:rsidRPr="001A66E4" w:rsidP="001A66E4">
            <w:pPr>
              <w:pStyle w:val="ListBullet"/>
            </w:pPr>
            <w:r w:rsidRPr="001A66E4">
              <w:t>comprehend and interpret written, oral or visual source material</w:t>
            </w:r>
          </w:p>
          <w:p w:rsidR="00000000" w:rsidRPr="001A66E4" w:rsidP="001A66E4">
            <w:pPr>
              <w:pStyle w:val="ListBullet"/>
            </w:pPr>
            <w:r w:rsidRPr="001A66E4">
              <w:t xml:space="preserve">exercise judgement on </w:t>
            </w:r>
            <w:r w:rsidRPr="001A66E4">
              <w:t>sensitive issues</w:t>
            </w:r>
          </w:p>
          <w:p w:rsidR="00000000" w:rsidRPr="001A66E4" w:rsidP="001A66E4">
            <w:pPr>
              <w:pStyle w:val="ListBullet"/>
            </w:pPr>
            <w:r w:rsidRPr="001A66E4">
              <w:t>apply listening skills</w:t>
            </w:r>
          </w:p>
          <w:p w:rsidR="00000000" w:rsidRPr="001A66E4" w:rsidP="001A66E4">
            <w:pPr>
              <w:pStyle w:val="ListBullet"/>
            </w:pPr>
            <w:r w:rsidRPr="001A66E4">
              <w:t>use oral communication skills</w:t>
            </w:r>
          </w:p>
          <w:p w:rsidR="00000000" w:rsidP="001A66E4">
            <w:pPr>
              <w:pStyle w:val="ListBullet"/>
              <w:rPr>
                <w:lang w:val="en-NZ"/>
              </w:rPr>
            </w:pPr>
            <w:r w:rsidRPr="001A66E4">
              <w:t>relate to people from a range of social, cultural and ethnic backgrounds and physical and mental abilities</w:t>
            </w:r>
          </w:p>
        </w:tc>
      </w:tr>
      <w:tr w:rsidTr="00235AA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A66E4" w:rsidP="001A66E4">
            <w:pPr>
              <w:pStyle w:val="TableHeading"/>
            </w:pPr>
            <w:r w:rsidRPr="001A66E4">
              <w:t>Required knowledge includes:</w:t>
            </w:r>
          </w:p>
          <w:p w:rsidR="00000000" w:rsidRPr="001A66E4" w:rsidP="001A66E4">
            <w:pPr>
              <w:pStyle w:val="BodyText"/>
            </w:pPr>
            <w:r w:rsidRPr="001A66E4">
              <w:rPr>
                <w:rStyle w:val="SpecialBold"/>
              </w:rPr>
              <w:t>Knowledge of:</w:t>
            </w:r>
          </w:p>
          <w:p w:rsidR="00000000" w:rsidRPr="001A66E4" w:rsidP="001A66E4">
            <w:pPr>
              <w:pStyle w:val="ListBullet"/>
            </w:pPr>
            <w:r w:rsidRPr="001A66E4">
              <w:t>Aboriginal history, cultural values and interpersonal and Community protocols</w:t>
            </w:r>
          </w:p>
          <w:p w:rsidR="00000000" w:rsidRPr="001A66E4" w:rsidP="001A66E4">
            <w:pPr>
              <w:pStyle w:val="ListBullet"/>
            </w:pPr>
            <w:r w:rsidRPr="001A66E4">
              <w:t>authentic and authoritative sources for Aboriginal cultural information, material and expression able to be accessed and shared</w:t>
            </w:r>
          </w:p>
          <w:p w:rsidR="00000000" w:rsidRPr="001A66E4" w:rsidP="001A66E4">
            <w:pPr>
              <w:pStyle w:val="ListBullet"/>
            </w:pPr>
            <w:r w:rsidRPr="001A66E4">
              <w:t xml:space="preserve">cultural authority identification for ceremony in </w:t>
            </w:r>
            <w:r w:rsidRPr="001A66E4">
              <w:t>a particular area or site</w:t>
            </w:r>
          </w:p>
          <w:p w:rsidR="00000000" w:rsidRPr="001A66E4" w:rsidP="001A66E4">
            <w:pPr>
              <w:pStyle w:val="ListBullet"/>
            </w:pPr>
            <w:r w:rsidRPr="001A66E4">
              <w:t>ownership relationships for secret, sacred material</w:t>
            </w:r>
          </w:p>
          <w:p w:rsidR="00000000" w:rsidRPr="001A66E4" w:rsidP="001A66E4">
            <w:pPr>
              <w:pStyle w:val="ListBullet"/>
            </w:pPr>
            <w:r w:rsidRPr="001A66E4">
              <w:t>genealogy</w:t>
            </w:r>
          </w:p>
          <w:p w:rsidR="00000000" w:rsidRPr="001A66E4" w:rsidP="001A66E4">
            <w:pPr>
              <w:pStyle w:val="ListBullet"/>
            </w:pPr>
            <w:r w:rsidRPr="001A66E4">
              <w:t>contracts and confidentiality agreements</w:t>
            </w:r>
          </w:p>
          <w:p w:rsidR="00000000" w:rsidRPr="001A66E4" w:rsidP="001A66E4">
            <w:pPr>
              <w:pStyle w:val="ListBullet"/>
            </w:pPr>
            <w:r w:rsidRPr="001A66E4">
              <w:t>selection and use of handling, storage and transport systems</w:t>
            </w:r>
          </w:p>
          <w:p w:rsidR="00000000" w:rsidRPr="001A66E4" w:rsidP="001A66E4">
            <w:pPr>
              <w:pStyle w:val="ListBullet"/>
            </w:pPr>
            <w:r w:rsidRPr="001A66E4">
              <w:t>record-keeping</w:t>
            </w:r>
          </w:p>
          <w:p w:rsidR="00000000" w:rsidRPr="001A66E4" w:rsidP="001A66E4">
            <w:pPr>
              <w:pStyle w:val="ListBullet"/>
            </w:pPr>
            <w:r w:rsidRPr="001A66E4">
              <w:t xml:space="preserve">organisational procedures and guidelines </w:t>
            </w:r>
          </w:p>
          <w:p w:rsidR="00000000" w:rsidRPr="001A66E4" w:rsidP="001A66E4">
            <w:pPr>
              <w:pStyle w:val="ListBullet"/>
            </w:pPr>
            <w:r w:rsidRPr="001A66E4">
              <w:t xml:space="preserve">Cultural </w:t>
            </w:r>
            <w:r w:rsidRPr="001A66E4">
              <w:t>and Heritage Legislation or relevant NPWS legislation</w:t>
            </w:r>
          </w:p>
          <w:p w:rsidR="00000000" w:rsidRPr="001A66E4" w:rsidP="001A66E4">
            <w:pPr>
              <w:pStyle w:val="ListBullet"/>
            </w:pPr>
            <w:r w:rsidRPr="001A66E4">
              <w:t>sustainable environmental practices</w:t>
            </w:r>
          </w:p>
          <w:p w:rsidR="00000000" w:rsidRPr="001A66E4" w:rsidP="001A66E4">
            <w:pPr>
              <w:pStyle w:val="ListBullet"/>
            </w:pPr>
            <w:r w:rsidRPr="001A66E4">
              <w:t>workplace health and safety requirements</w:t>
            </w:r>
          </w:p>
        </w:tc>
      </w:tr>
    </w:tbl>
    <w:p w:rsidR="00000000" w:rsidRPr="001A66E4" w:rsidP="001A66E4">
      <w:pPr>
        <w:pStyle w:val="BodyText"/>
      </w:pPr>
    </w:p>
    <w:p w:rsidR="00000000" w:rsidRPr="001A66E4" w:rsidP="001A66E4">
      <w:pPr>
        <w:pStyle w:val="AllowPageBreak"/>
      </w:pPr>
    </w:p>
    <w:p w:rsidR="00000000" w:rsidRPr="001A66E4" w:rsidP="001A66E4">
      <w:pPr>
        <w:pStyle w:val="Heading1"/>
      </w:pPr>
      <w:bookmarkStart w:id="10" w:name="O_520964"/>
      <w:bookmarkEnd w:id="10"/>
      <w:r w:rsidRPr="001A66E4">
        <w:t>Evidence Guide</w:t>
      </w:r>
    </w:p>
    <w:tbl>
      <w:tblPr>
        <w:tblW w:w="0" w:type="auto"/>
        <w:tblLayout w:type="fixed"/>
        <w:tblCellMar>
          <w:left w:w="62" w:type="dxa"/>
          <w:right w:w="62" w:type="dxa"/>
        </w:tblCellMar>
        <w:tblLook w:val="0000"/>
      </w:tblPr>
      <w:tblGrid>
        <w:gridCol w:w="3674"/>
        <w:gridCol w:w="5398"/>
      </w:tblGrid>
      <w:tr w:rsidTr="001A66E4">
        <w:tblPrEx>
          <w:tblW w:w="0" w:type="auto"/>
          <w:tblLayout w:type="fixed"/>
          <w:tblCellMar>
            <w:left w:w="62" w:type="dxa"/>
            <w:right w:w="62" w:type="dxa"/>
          </w:tblCellMar>
          <w:tblLook w:val="0000"/>
        </w:tblPrEx>
        <w:tc>
          <w:tcPr>
            <w:tcW w:w="9072"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A66E4">
            <w:pPr>
              <w:pStyle w:val="BodyText"/>
              <w:rPr>
                <w:lang w:val="en-NZ"/>
              </w:rPr>
            </w:pPr>
            <w:r w:rsidRPr="001A66E4">
              <w:t>The evidence guide provides advice on assessment and must b</w:t>
            </w:r>
            <w:r w:rsidRPr="001A66E4">
              <w:t>e read in conjunction with the performance criteria, required skills and knowledge, range statement and the Assessment Guidelines for the Training Package</w:t>
            </w:r>
          </w:p>
        </w:tc>
      </w:tr>
      <w:tr w:rsidTr="001A66E4">
        <w:tblPrEx>
          <w:tblW w:w="0" w:type="auto"/>
          <w:tblLayout w:type="fixed"/>
          <w:tblCellMar>
            <w:left w:w="62" w:type="dxa"/>
            <w:right w:w="62" w:type="dxa"/>
          </w:tblCellMar>
          <w:tblLook w:val="0000"/>
        </w:tblPrEx>
        <w:trPr>
          <w:trHeight w:val="391"/>
        </w:trPr>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A66E4">
            <w:pPr>
              <w:pStyle w:val="BodyText"/>
              <w:rPr>
                <w:lang w:val="en-NZ"/>
              </w:rPr>
            </w:pPr>
            <w:r w:rsidRPr="001A66E4">
              <w:rPr>
                <w:rStyle w:val="SpecialBold"/>
              </w:rPr>
              <w:t>Overview of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A66E4">
            <w:pPr>
              <w:pStyle w:val="BodyText"/>
              <w:rPr>
                <w:lang w:val="en-NZ"/>
              </w:rPr>
            </w:pPr>
          </w:p>
        </w:tc>
      </w:tr>
      <w:tr w:rsidTr="001A66E4">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A66E4">
            <w:pPr>
              <w:pStyle w:val="BodyText"/>
              <w:rPr>
                <w:lang w:val="en-NZ"/>
              </w:rPr>
            </w:pPr>
            <w:r w:rsidRPr="001A66E4">
              <w:rPr>
                <w:rStyle w:val="SpecialBold"/>
              </w:rPr>
              <w:t>Critical aspects for assessment and evidence required to demonstrate competency in this unit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A66E4" w:rsidP="001A66E4">
            <w:pPr>
              <w:pStyle w:val="BodyText"/>
            </w:pPr>
            <w:r w:rsidRPr="001A66E4">
              <w:t>This unit requires the involvement and participation of the appropriate cultural authority in the training and assessment tasks, i.e. Traditional Owners and/or Cul</w:t>
            </w:r>
            <w:r w:rsidRPr="001A66E4">
              <w:t>tural Manager and/or Cultural Knowledge holder and/or Custodian/s.</w:t>
            </w:r>
          </w:p>
          <w:p w:rsidR="00000000" w:rsidRPr="001A66E4" w:rsidP="001A66E4">
            <w:pPr>
              <w:pStyle w:val="BodyText"/>
            </w:pPr>
            <w:r w:rsidRPr="001A66E4">
              <w:t>The delivery and assessment of this unit must comply with Community protocols and be carried out in consultation with and in participation with Traditional Owners and/or Elders and custodia</w:t>
            </w:r>
            <w:r w:rsidRPr="001A66E4">
              <w:t>ns of that specific Country.</w:t>
            </w:r>
          </w:p>
          <w:p w:rsidR="00000000" w:rsidRPr="001A66E4" w:rsidP="001A66E4">
            <w:pPr>
              <w:pStyle w:val="BodyText"/>
            </w:pPr>
            <w:r w:rsidRPr="001A66E4">
              <w:t>In accordance with Aboriginal cultural protocols, cultural knowledge copyright considerations and Aboriginal lore/law restrictions, it is essential that this requirement be respected and implemented in the delivery and assessme</w:t>
            </w:r>
            <w:r w:rsidRPr="001A66E4">
              <w:t xml:space="preserve">nt of </w:t>
            </w:r>
            <w:r w:rsidRPr="001A66E4">
              <w:rPr>
                <w:rStyle w:val="BoldandItalics"/>
              </w:rPr>
              <w:t>Cultural Units</w:t>
            </w:r>
            <w:r w:rsidRPr="001A66E4">
              <w:t xml:space="preserve"> to guarantee cultural authenticity and quality control around the delivery of training and assessment for Aboriginal-sites workers. Candidates must demonstrate evidence of the ability to:</w:t>
            </w:r>
          </w:p>
          <w:p w:rsidR="00000000" w:rsidRPr="001A66E4" w:rsidP="001A66E4">
            <w:pPr>
              <w:pStyle w:val="ListBullet"/>
            </w:pPr>
            <w:r w:rsidRPr="001A66E4">
              <w:t>apply knowledge of issues that frame the devel</w:t>
            </w:r>
            <w:r w:rsidRPr="001A66E4">
              <w:t>opment of cultural protocols</w:t>
            </w:r>
          </w:p>
          <w:p w:rsidR="00000000" w:rsidRPr="001A66E4" w:rsidP="001A66E4">
            <w:pPr>
              <w:pStyle w:val="ListBullet"/>
            </w:pPr>
            <w:r w:rsidRPr="001A66E4">
              <w:t>consult effectively with Traditional Owners and relevant Community representatives about the handling, access to and display of cultural material</w:t>
            </w:r>
          </w:p>
          <w:p w:rsidR="00000000" w:rsidP="001A66E4">
            <w:pPr>
              <w:pStyle w:val="ListBullet"/>
              <w:rPr>
                <w:lang w:val="en-NZ"/>
              </w:rPr>
            </w:pPr>
            <w:r w:rsidRPr="001A66E4">
              <w:t>observe Aboriginal cultural protocols, follow collection management practices and</w:t>
            </w:r>
            <w:r w:rsidRPr="001A66E4">
              <w:t xml:space="preserve"> industry cultural requirements when moving, storing, displaying and maintaining cultural material</w:t>
            </w:r>
          </w:p>
        </w:tc>
      </w:tr>
      <w:tr w:rsidTr="001A66E4">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A66E4">
            <w:pPr>
              <w:pStyle w:val="BodyText"/>
              <w:rPr>
                <w:lang w:val="en-NZ"/>
              </w:rPr>
            </w:pPr>
            <w:r w:rsidRPr="001A66E4">
              <w:rPr>
                <w:rStyle w:val="SpecialBold"/>
              </w:rPr>
              <w:t>Context of and specific resources for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A66E4" w:rsidP="001A66E4">
            <w:pPr>
              <w:pStyle w:val="BodyText"/>
            </w:pPr>
            <w:r w:rsidRPr="001A66E4">
              <w:t>Assessment events must be contextualised to meet the needs of the particular group, including:</w:t>
            </w:r>
          </w:p>
          <w:p w:rsidR="00000000" w:rsidRPr="001A66E4" w:rsidP="001A66E4">
            <w:pPr>
              <w:pStyle w:val="ListBullet"/>
            </w:pPr>
            <w:r w:rsidRPr="001A66E4">
              <w:t xml:space="preserve">a Community, educational or workplace setting </w:t>
            </w:r>
          </w:p>
          <w:p w:rsidR="00000000" w:rsidRPr="001A66E4" w:rsidP="001A66E4">
            <w:pPr>
              <w:pStyle w:val="ListBullet"/>
            </w:pPr>
            <w:r w:rsidRPr="001A66E4">
              <w:t xml:space="preserve">involvement of people approved by Cultural managers, </w:t>
            </w:r>
            <w:r w:rsidRPr="001A66E4">
              <w:t xml:space="preserve">custodians and/or Traditional Owners for the materials in question </w:t>
            </w:r>
          </w:p>
          <w:p w:rsidR="00000000" w:rsidRPr="001A66E4" w:rsidP="001A66E4">
            <w:pPr>
              <w:pStyle w:val="ListBullet"/>
            </w:pPr>
            <w:r w:rsidRPr="001A66E4">
              <w:t>access to:</w:t>
            </w:r>
          </w:p>
          <w:p w:rsidR="00000000" w:rsidRPr="001A66E4" w:rsidP="001A66E4">
            <w:pPr>
              <w:pStyle w:val="ListBullet2"/>
            </w:pPr>
            <w:r w:rsidRPr="001A66E4">
              <w:t>cultural material or information on material when access is not available</w:t>
            </w:r>
          </w:p>
          <w:p w:rsidR="00000000" w:rsidRPr="001A66E4" w:rsidP="001A66E4">
            <w:pPr>
              <w:pStyle w:val="ListBullet2"/>
            </w:pPr>
            <w:r w:rsidRPr="001A66E4">
              <w:t>in</w:t>
            </w:r>
            <w:r w:rsidRPr="001A66E4">
              <w:t>formation about cultural protocols</w:t>
            </w:r>
          </w:p>
          <w:p w:rsidR="00000000" w:rsidP="001A66E4">
            <w:pPr>
              <w:pStyle w:val="ListBullet"/>
              <w:rPr>
                <w:lang w:val="en-NZ"/>
              </w:rPr>
            </w:pPr>
            <w:r w:rsidRPr="001A66E4">
              <w:t>appropriately qualified and experienced museum personnel and cultural heritage curators</w:t>
            </w:r>
          </w:p>
        </w:tc>
      </w:tr>
      <w:tr w:rsidTr="001A66E4">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A66E4">
            <w:pPr>
              <w:pStyle w:val="BodyText"/>
              <w:rPr>
                <w:lang w:val="en-NZ"/>
              </w:rPr>
            </w:pPr>
            <w:r w:rsidRPr="001A66E4">
              <w:rPr>
                <w:rStyle w:val="SpecialBold"/>
              </w:rPr>
              <w:t>Method of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A66E4" w:rsidP="001A66E4">
            <w:pPr>
              <w:pStyle w:val="BodyText"/>
            </w:pPr>
            <w:r w:rsidRPr="001A66E4">
              <w:t>A range of assessment methods should be used to assess competency in working with secret, sacred materials. The following examples are appropriate for this unit:</w:t>
            </w:r>
          </w:p>
          <w:p w:rsidR="00000000" w:rsidRPr="001A66E4" w:rsidP="001A66E4">
            <w:pPr>
              <w:pStyle w:val="ListBullet"/>
            </w:pPr>
            <w:r w:rsidRPr="001A66E4">
              <w:t>observation of the candidate working on Country or in a keeping place facility consulting and</w:t>
            </w:r>
            <w:r w:rsidRPr="001A66E4">
              <w:t>/or working with ceremonial secret, sacred materials. Prior approval and permission should be obtained for the Assessor from any Traditional Owners and/or Cultural managers involved</w:t>
            </w:r>
          </w:p>
          <w:p w:rsidR="00000000" w:rsidRPr="001A66E4" w:rsidP="001A66E4">
            <w:pPr>
              <w:pStyle w:val="ListBullet"/>
            </w:pPr>
            <w:r w:rsidRPr="001A66E4">
              <w:t>direct questioning combined with third-party workplace reports of on-the-j</w:t>
            </w:r>
            <w:r w:rsidRPr="001A66E4">
              <w:t xml:space="preserve">ob performance </w:t>
            </w:r>
          </w:p>
          <w:p w:rsidR="00000000" w:rsidRPr="001A66E4" w:rsidP="001A66E4">
            <w:pPr>
              <w:pStyle w:val="ListBullet"/>
            </w:pPr>
            <w:r w:rsidRPr="001A66E4">
              <w:t xml:space="preserve">verbal or written questioning </w:t>
            </w:r>
          </w:p>
          <w:p w:rsidR="00000000" w:rsidRPr="001A66E4" w:rsidP="001A66E4">
            <w:pPr>
              <w:pStyle w:val="ListBullet"/>
            </w:pPr>
            <w:r w:rsidRPr="001A66E4">
              <w:t>observation of participation in Ceremony and/or Sites work related to the knowledge and skills outlined in this unit</w:t>
            </w:r>
          </w:p>
          <w:p w:rsidR="00000000" w:rsidP="001A66E4">
            <w:pPr>
              <w:pStyle w:val="BodyText"/>
              <w:rPr>
                <w:lang w:val="en-NZ"/>
              </w:rPr>
            </w:pPr>
            <w:r w:rsidRPr="001A66E4">
              <w:t>Assessment methods should closely reflect workplace demands and the needs of particular client groups (consider the requirements of different age groups, clients with English as a second language, clients with disabilities, remote library users, etc.).</w:t>
            </w:r>
          </w:p>
        </w:tc>
      </w:tr>
      <w:tr w:rsidTr="001A66E4">
        <w:tblPrEx>
          <w:tblW w:w="0" w:type="auto"/>
          <w:tblLayout w:type="fixed"/>
          <w:tblCellMar>
            <w:left w:w="62" w:type="dxa"/>
            <w:right w:w="62" w:type="dxa"/>
          </w:tblCellMar>
          <w:tblLook w:val="0000"/>
        </w:tblPrEx>
        <w:tc>
          <w:tcPr>
            <w:tcW w:w="3674"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A66E4">
            <w:pPr>
              <w:pStyle w:val="BodyText"/>
              <w:rPr>
                <w:lang w:val="en-NZ"/>
              </w:rPr>
            </w:pPr>
            <w:r w:rsidRPr="001A66E4">
              <w:rPr>
                <w:rStyle w:val="SpecialBold"/>
              </w:rPr>
              <w:t>Gu</w:t>
            </w:r>
            <w:r w:rsidRPr="001A66E4">
              <w:rPr>
                <w:rStyle w:val="SpecialBold"/>
              </w:rPr>
              <w:t>idance information for assessment</w:t>
            </w:r>
          </w:p>
        </w:tc>
        <w:tc>
          <w:tcPr>
            <w:tcW w:w="5398"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A66E4" w:rsidP="001A66E4">
            <w:pPr>
              <w:pStyle w:val="BodyText"/>
            </w:pPr>
            <w:r w:rsidRPr="001A66E4">
              <w:t>Holistic assessment with other units relevant to the industry sector, workplace and job role is recommended, for example:</w:t>
            </w:r>
          </w:p>
          <w:p w:rsidR="00000000" w:rsidRPr="001A66E4" w:rsidP="001A66E4">
            <w:pPr>
              <w:pStyle w:val="ListBullet"/>
            </w:pPr>
            <w:r w:rsidRPr="001A66E4">
              <w:t>AHCILM306A Follow Aboriginal cultural protocols</w:t>
            </w:r>
          </w:p>
          <w:p w:rsidR="00000000" w:rsidRPr="001A66E4" w:rsidP="001A66E4">
            <w:pPr>
              <w:pStyle w:val="ListBullet"/>
            </w:pPr>
            <w:r w:rsidRPr="001A66E4">
              <w:t>AHCASW308A Apply cultural significance to Aborigina</w:t>
            </w:r>
            <w:r w:rsidRPr="001A66E4">
              <w:t>l-sites and landscapes</w:t>
            </w:r>
          </w:p>
          <w:p w:rsidR="00000000" w:rsidRPr="001A66E4" w:rsidP="001A66E4">
            <w:pPr>
              <w:pStyle w:val="BodyText"/>
            </w:pPr>
            <w:r w:rsidRPr="001A66E4">
              <w:t>Assessment for this unit should comprise a combination of theory and practical application. Both aspects of assessment are best conducted on Country and/or in a keeping place facility for this unit.</w:t>
            </w:r>
          </w:p>
        </w:tc>
      </w:tr>
    </w:tbl>
    <w:p w:rsidR="00000000" w:rsidRPr="001A66E4" w:rsidP="001A66E4">
      <w:pPr>
        <w:pStyle w:val="BodyText"/>
      </w:pPr>
    </w:p>
    <w:p w:rsidR="00000000" w:rsidRPr="001A66E4" w:rsidP="001A66E4">
      <w:pPr>
        <w:pStyle w:val="AllowPageBreak"/>
      </w:pPr>
    </w:p>
    <w:p w:rsidR="00000000" w:rsidRPr="001A66E4" w:rsidP="001A66E4">
      <w:pPr>
        <w:pStyle w:val="Heading1"/>
      </w:pPr>
      <w:bookmarkStart w:id="11" w:name="O_520965"/>
      <w:bookmarkEnd w:id="11"/>
      <w:r w:rsidRPr="001A66E4">
        <w:t>Range Statement</w:t>
      </w:r>
    </w:p>
    <w:tbl>
      <w:tblPr>
        <w:tblW w:w="0" w:type="auto"/>
        <w:tblLayout w:type="fixed"/>
        <w:tblCellMar>
          <w:left w:w="62" w:type="dxa"/>
          <w:right w:w="62" w:type="dxa"/>
        </w:tblCellMar>
        <w:tblLook w:val="0000"/>
      </w:tblPr>
      <w:tblGrid>
        <w:gridCol w:w="3011"/>
        <w:gridCol w:w="6061"/>
      </w:tblGrid>
      <w:tr w:rsidTr="00235AA0">
        <w:tblPrEx>
          <w:tblW w:w="0" w:type="auto"/>
          <w:tblLayout w:type="fixed"/>
          <w:tblCellMar>
            <w:left w:w="62" w:type="dxa"/>
            <w:right w:w="62" w:type="dxa"/>
          </w:tblCellMar>
          <w:tblLook w:val="0000"/>
        </w:tblPrEx>
        <w:tc>
          <w:tcPr>
            <w:tcW w:w="9072" w:type="dxa"/>
            <w:gridSpan w:val="2"/>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A66E4">
            <w:pPr>
              <w:pStyle w:val="BodyText"/>
              <w:rPr>
                <w:lang w:val="en-NZ"/>
              </w:rPr>
            </w:pPr>
            <w:r w:rsidRPr="001A66E4">
              <w:t>The range statement relates to the unit of competency as a whole. It allows for different work environments and situations that may affect performance. Bold italicised wording, if used in the performance criteria, is detailed below. Essential operating co</w:t>
            </w:r>
            <w:r w:rsidRPr="001A66E4">
              <w:t>nditions that may be present with training and assessment (depending on the work situation, needs of the candidate, accessibility of the item, and local industry and regional contexts) may also be included.</w:t>
            </w:r>
          </w:p>
        </w:tc>
      </w:tr>
      <w:tr w:rsidTr="00235AA0">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A66E4">
            <w:pPr>
              <w:pStyle w:val="BodyText"/>
              <w:rPr>
                <w:lang w:val="en-NZ"/>
              </w:rPr>
            </w:pPr>
            <w:r w:rsidRPr="001A66E4">
              <w:rPr>
                <w:rStyle w:val="BoldandItalics"/>
              </w:rPr>
              <w:t xml:space="preserve">cultural material </w:t>
            </w:r>
            <w:r w:rsidRPr="001A66E4">
              <w:t xml:space="preserve">is defined as: </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A66E4" w:rsidP="001A66E4">
            <w:pPr>
              <w:pStyle w:val="ListBullet"/>
            </w:pPr>
            <w:r w:rsidRPr="001A66E4">
              <w:t>objects, collections, artworks</w:t>
            </w:r>
          </w:p>
          <w:p w:rsidR="00000000" w:rsidRPr="001A66E4" w:rsidP="001A66E4">
            <w:pPr>
              <w:pStyle w:val="ListBullet"/>
            </w:pPr>
            <w:r w:rsidRPr="001A66E4">
              <w:t>specimens, structures or sites</w:t>
            </w:r>
          </w:p>
          <w:p w:rsidR="00000000" w:rsidRPr="001A66E4" w:rsidP="001A66E4">
            <w:pPr>
              <w:pStyle w:val="ListBullet"/>
            </w:pPr>
            <w:r w:rsidRPr="001A66E4">
              <w:t>archaeological material</w:t>
            </w:r>
          </w:p>
          <w:p w:rsidR="00000000" w:rsidRPr="001A66E4" w:rsidP="001A66E4">
            <w:pPr>
              <w:pStyle w:val="ListBullet"/>
            </w:pPr>
            <w:r w:rsidRPr="001A66E4">
              <w:t>books and manuscripts</w:t>
            </w:r>
          </w:p>
          <w:p w:rsidR="00000000" w:rsidRPr="001A66E4" w:rsidP="001A66E4">
            <w:pPr>
              <w:pStyle w:val="ListBullet"/>
            </w:pPr>
            <w:r w:rsidRPr="001A66E4">
              <w:t>built heritage</w:t>
            </w:r>
          </w:p>
          <w:p w:rsidR="00000000" w:rsidRPr="001A66E4" w:rsidP="001A66E4">
            <w:pPr>
              <w:pStyle w:val="ListBullet"/>
            </w:pPr>
            <w:r w:rsidRPr="001A66E4">
              <w:t>cultural sites and buildings</w:t>
            </w:r>
          </w:p>
          <w:p w:rsidR="00000000" w:rsidRPr="001A66E4" w:rsidP="001A66E4">
            <w:pPr>
              <w:pStyle w:val="ListBullet"/>
            </w:pPr>
            <w:r w:rsidRPr="001A66E4">
              <w:t>ethnographic material</w:t>
            </w:r>
          </w:p>
          <w:p w:rsidR="00000000" w:rsidRPr="001A66E4" w:rsidP="001A66E4">
            <w:pPr>
              <w:pStyle w:val="ListBullet"/>
            </w:pPr>
            <w:r w:rsidRPr="001A66E4">
              <w:t>film and audio-visual material</w:t>
            </w:r>
          </w:p>
          <w:p w:rsidR="00000000" w:rsidRPr="001A66E4" w:rsidP="001A66E4">
            <w:pPr>
              <w:pStyle w:val="ListBullet"/>
            </w:pPr>
            <w:r w:rsidRPr="001A66E4">
              <w:t>flora and fauna</w:t>
            </w:r>
          </w:p>
          <w:p w:rsidR="00000000" w:rsidRPr="001A66E4" w:rsidP="001A66E4">
            <w:pPr>
              <w:pStyle w:val="ListBullet"/>
            </w:pPr>
            <w:r w:rsidRPr="001A66E4">
              <w:t>furniture</w:t>
            </w:r>
          </w:p>
          <w:p w:rsidR="00000000" w:rsidRPr="001A66E4" w:rsidP="001A66E4">
            <w:pPr>
              <w:pStyle w:val="ListBullet"/>
            </w:pPr>
            <w:r w:rsidRPr="001A66E4">
              <w:t>photographs</w:t>
            </w:r>
          </w:p>
          <w:p w:rsidR="00000000" w:rsidRPr="001A66E4" w:rsidP="001A66E4">
            <w:pPr>
              <w:pStyle w:val="ListBullet"/>
            </w:pPr>
            <w:r w:rsidRPr="001A66E4">
              <w:t>technological</w:t>
            </w:r>
            <w:r w:rsidRPr="001A66E4">
              <w:t xml:space="preserve"> and industry items</w:t>
            </w:r>
          </w:p>
          <w:p w:rsidR="00000000" w:rsidRPr="001A66E4" w:rsidP="001A66E4">
            <w:pPr>
              <w:pStyle w:val="ListBullet"/>
            </w:pPr>
            <w:r w:rsidRPr="001A66E4">
              <w:t>textiles</w:t>
            </w:r>
          </w:p>
          <w:p w:rsidR="00000000" w:rsidP="001A66E4">
            <w:pPr>
              <w:pStyle w:val="ListBullet"/>
              <w:rPr>
                <w:lang w:val="en-NZ"/>
              </w:rPr>
            </w:pPr>
            <w:r w:rsidRPr="001A66E4">
              <w:t>works on paper and canvas</w:t>
            </w:r>
          </w:p>
        </w:tc>
      </w:tr>
      <w:tr w:rsidTr="00235AA0">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A66E4">
            <w:pPr>
              <w:pStyle w:val="BodyText"/>
              <w:rPr>
                <w:lang w:val="en-NZ"/>
              </w:rPr>
            </w:pPr>
            <w:r w:rsidRPr="001A66E4">
              <w:rPr>
                <w:rStyle w:val="BoldandItalics"/>
              </w:rPr>
              <w:t xml:space="preserve">objects </w:t>
            </w:r>
            <w:r w:rsidRPr="001A66E4">
              <w:t>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A66E4" w:rsidP="001A66E4">
            <w:pPr>
              <w:pStyle w:val="ListBullet"/>
            </w:pPr>
            <w:r w:rsidRPr="001A66E4">
              <w:t>physical objects such as stone tools, Aboriginal-built fences and stockyards, scarred trees, the remains of fringe camps</w:t>
            </w:r>
          </w:p>
          <w:p w:rsidR="00000000" w:rsidRPr="001A66E4" w:rsidP="001A66E4">
            <w:pPr>
              <w:pStyle w:val="ListBullet"/>
            </w:pPr>
            <w:r w:rsidRPr="001A66E4">
              <w:t>material deposited on the land, such as middens</w:t>
            </w:r>
          </w:p>
          <w:p w:rsidR="00000000" w:rsidRPr="001A66E4" w:rsidP="001A66E4">
            <w:pPr>
              <w:pStyle w:val="ListBullet"/>
            </w:pPr>
            <w:r w:rsidRPr="001A66E4">
              <w:t>the ancestral remains of Aboriginal people</w:t>
            </w:r>
          </w:p>
          <w:p w:rsidR="00000000" w:rsidRPr="001A66E4" w:rsidP="001A66E4">
            <w:pPr>
              <w:pStyle w:val="ListBullet"/>
            </w:pPr>
            <w:r w:rsidRPr="001A66E4">
              <w:t>stones and stone tools</w:t>
            </w:r>
          </w:p>
          <w:p w:rsidR="00000000" w:rsidRPr="001A66E4" w:rsidP="001A66E4">
            <w:pPr>
              <w:pStyle w:val="ListBullet"/>
            </w:pPr>
            <w:r w:rsidRPr="001A66E4">
              <w:t>art and artworks</w:t>
            </w:r>
          </w:p>
          <w:p w:rsidR="00000000" w:rsidRPr="001A66E4" w:rsidP="001A66E4">
            <w:pPr>
              <w:pStyle w:val="ListBullet"/>
            </w:pPr>
            <w:r w:rsidRPr="001A66E4">
              <w:t xml:space="preserve">shells </w:t>
            </w:r>
          </w:p>
          <w:p w:rsidR="00000000" w:rsidP="001A66E4">
            <w:pPr>
              <w:pStyle w:val="ListBullet"/>
              <w:rPr>
                <w:lang w:val="en-NZ"/>
              </w:rPr>
            </w:pPr>
            <w:r w:rsidRPr="001A66E4">
              <w:t>non-human bones and organic materials</w:t>
            </w:r>
          </w:p>
        </w:tc>
      </w:tr>
      <w:tr w:rsidTr="00235AA0">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A66E4">
            <w:pPr>
              <w:pStyle w:val="BodyText"/>
              <w:rPr>
                <w:lang w:val="en-NZ"/>
              </w:rPr>
            </w:pPr>
            <w:r w:rsidRPr="001A66E4">
              <w:rPr>
                <w:rStyle w:val="BoldandItalics"/>
              </w:rPr>
              <w:t xml:space="preserve">Aboriginal cultural protocols </w:t>
            </w:r>
            <w:r w:rsidRPr="001A66E4">
              <w:t>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A66E4" w:rsidP="001A66E4">
            <w:pPr>
              <w:pStyle w:val="ListBullet"/>
            </w:pPr>
            <w:r w:rsidRPr="001A66E4">
              <w:t xml:space="preserve">gender roles in relation to knowledge and cultural practices </w:t>
            </w:r>
          </w:p>
          <w:p w:rsidR="00000000" w:rsidRPr="001A66E4" w:rsidP="001A66E4">
            <w:pPr>
              <w:pStyle w:val="ListBullet"/>
            </w:pPr>
            <w:r w:rsidRPr="001A66E4">
              <w:t>information sensitiv</w:t>
            </w:r>
            <w:r w:rsidRPr="001A66E4">
              <w:t>ity and access</w:t>
            </w:r>
          </w:p>
          <w:p w:rsidR="00000000" w:rsidRPr="001A66E4" w:rsidP="001A66E4">
            <w:pPr>
              <w:pStyle w:val="ListBullet"/>
            </w:pPr>
            <w:r w:rsidRPr="001A66E4">
              <w:t>appropriate information transfer</w:t>
            </w:r>
          </w:p>
          <w:p w:rsidR="00000000" w:rsidRPr="001A66E4" w:rsidP="001A66E4">
            <w:pPr>
              <w:pStyle w:val="ListBullet"/>
            </w:pPr>
            <w:r w:rsidRPr="001A66E4">
              <w:t>negotiations with local Aboriginal Community about information transfer</w:t>
            </w:r>
          </w:p>
          <w:p w:rsidR="00000000" w:rsidRPr="001A66E4" w:rsidP="001A66E4">
            <w:pPr>
              <w:pStyle w:val="ListBullet"/>
            </w:pPr>
            <w:r w:rsidRPr="001A66E4">
              <w:t>cultural diversity</w:t>
            </w:r>
          </w:p>
          <w:p w:rsidR="00000000" w:rsidRPr="001A66E4" w:rsidP="001A66E4">
            <w:pPr>
              <w:pStyle w:val="ListBullet"/>
            </w:pPr>
            <w:r w:rsidRPr="001A66E4">
              <w:t>natural resources and their importance for economy, religion, spirituality, art, environment, values, beliefs and lore/law</w:t>
            </w:r>
          </w:p>
          <w:p w:rsidR="00000000" w:rsidRPr="001A66E4" w:rsidP="001A66E4">
            <w:pPr>
              <w:pStyle w:val="ListBullet"/>
            </w:pPr>
            <w:r w:rsidRPr="001A66E4">
              <w:t>rights and responsibilities associated with cultural knowledge, story, song, Site, and ceremony</w:t>
            </w:r>
          </w:p>
          <w:p w:rsidR="00000000" w:rsidRPr="001A66E4" w:rsidP="001A66E4">
            <w:pPr>
              <w:pStyle w:val="ListBullet"/>
            </w:pPr>
            <w:r w:rsidRPr="001A66E4">
              <w:t>interpersonal ways of relating</w:t>
            </w:r>
          </w:p>
          <w:p w:rsidR="00000000" w:rsidRPr="001A66E4" w:rsidP="001A66E4">
            <w:pPr>
              <w:pStyle w:val="ListBullet"/>
            </w:pPr>
            <w:r w:rsidRPr="001A66E4">
              <w:t>the ta</w:t>
            </w:r>
            <w:r w:rsidRPr="001A66E4">
              <w:t>lking of Community politics</w:t>
            </w:r>
          </w:p>
          <w:p w:rsidR="00000000" w:rsidRPr="001A66E4" w:rsidP="001A66E4">
            <w:pPr>
              <w:pStyle w:val="ListBullet"/>
            </w:pPr>
            <w:r w:rsidRPr="001A66E4">
              <w:t>repatriation of objects and human remains</w:t>
            </w:r>
          </w:p>
          <w:p w:rsidR="00000000" w:rsidRPr="001A66E4" w:rsidP="001A66E4">
            <w:pPr>
              <w:pStyle w:val="ListBullet"/>
            </w:pPr>
            <w:r w:rsidRPr="001A66E4">
              <w:t>issues of ownership (clans/nations)</w:t>
            </w:r>
          </w:p>
          <w:p w:rsidR="00000000" w:rsidRPr="001A66E4" w:rsidP="001A66E4">
            <w:pPr>
              <w:pStyle w:val="ListBullet"/>
            </w:pPr>
            <w:r w:rsidRPr="001A66E4">
              <w:t>ownership of intellectual property</w:t>
            </w:r>
          </w:p>
          <w:p w:rsidR="00000000" w:rsidRPr="001A66E4" w:rsidP="001A66E4">
            <w:pPr>
              <w:pStyle w:val="ListBullet"/>
            </w:pPr>
            <w:r w:rsidRPr="001A66E4">
              <w:t>acknowledging participation and ownership</w:t>
            </w:r>
          </w:p>
          <w:p w:rsidR="00000000" w:rsidRPr="001A66E4" w:rsidP="001A66E4">
            <w:pPr>
              <w:pStyle w:val="ListBullet"/>
            </w:pPr>
            <w:r w:rsidRPr="001A66E4">
              <w:t>communicating about cultural material</w:t>
            </w:r>
          </w:p>
          <w:p w:rsidR="00000000" w:rsidRPr="001A66E4" w:rsidP="001A66E4">
            <w:pPr>
              <w:pStyle w:val="ListBullet"/>
            </w:pPr>
            <w:r w:rsidRPr="001A66E4">
              <w:t>displaying cultural material</w:t>
            </w:r>
          </w:p>
          <w:p w:rsidR="00000000" w:rsidRPr="001A66E4" w:rsidP="001A66E4">
            <w:pPr>
              <w:pStyle w:val="ListBullet"/>
            </w:pPr>
            <w:r w:rsidRPr="001A66E4">
              <w:t>handli</w:t>
            </w:r>
            <w:r w:rsidRPr="001A66E4">
              <w:t>ng cultural material</w:t>
            </w:r>
          </w:p>
          <w:p w:rsidR="00000000" w:rsidRPr="001A66E4" w:rsidP="001A66E4">
            <w:pPr>
              <w:pStyle w:val="ListBullet"/>
            </w:pPr>
            <w:r w:rsidRPr="001A66E4">
              <w:t>identifying appropriate people to be consulted</w:t>
            </w:r>
          </w:p>
          <w:p w:rsidR="00000000" w:rsidRPr="001A66E4" w:rsidP="001A66E4">
            <w:pPr>
              <w:pStyle w:val="ListBullet"/>
            </w:pPr>
            <w:r w:rsidRPr="001A66E4">
              <w:t>occasions when consultation is required</w:t>
            </w:r>
          </w:p>
          <w:p w:rsidR="00000000" w:rsidP="001A66E4">
            <w:pPr>
              <w:pStyle w:val="ListBullet"/>
              <w:rPr>
                <w:lang w:val="en-NZ"/>
              </w:rPr>
            </w:pPr>
            <w:r w:rsidRPr="001A66E4">
              <w:t>ways in which consultations should be conducted</w:t>
            </w:r>
          </w:p>
        </w:tc>
      </w:tr>
      <w:tr w:rsidTr="00235AA0">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A66E4">
            <w:pPr>
              <w:pStyle w:val="BodyText"/>
              <w:rPr>
                <w:lang w:val="en-NZ"/>
              </w:rPr>
            </w:pPr>
            <w:r w:rsidRPr="001A66E4">
              <w:rPr>
                <w:rStyle w:val="BoldandItalics"/>
              </w:rPr>
              <w:t xml:space="preserve">cultural authorities </w:t>
            </w:r>
            <w:r w:rsidRPr="001A66E4">
              <w:t>may include:</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A66E4">
            <w:pPr>
              <w:pStyle w:val="BodyText"/>
              <w:rPr>
                <w:lang w:val="en-NZ"/>
              </w:rPr>
            </w:pPr>
            <w:r w:rsidRPr="001A66E4">
              <w:t>Cultural authority refers to the most appropriate senior person/s that is able to speak for particular Country, cultural objects, ceremony and/or materials in a specific place. A cultural authority could be a Traditional Owner, a Native Title Claimant, Abo</w:t>
            </w:r>
            <w:r w:rsidRPr="001A66E4">
              <w:t>riginal Culture and Heritage Body, Elder, Aboriginal Land Council, etc.</w:t>
            </w:r>
          </w:p>
        </w:tc>
      </w:tr>
      <w:tr w:rsidTr="00235AA0">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A66E4">
            <w:pPr>
              <w:pStyle w:val="BodyText"/>
              <w:rPr>
                <w:lang w:val="en-NZ"/>
              </w:rPr>
            </w:pPr>
            <w:r w:rsidRPr="001A66E4">
              <w:rPr>
                <w:rStyle w:val="BoldandItalics"/>
              </w:rPr>
              <w:t xml:space="preserve">limitations </w:t>
            </w:r>
            <w:r w:rsidRPr="001A66E4">
              <w:t>may relate to:</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A66E4" w:rsidP="001A66E4">
            <w:pPr>
              <w:pStyle w:val="ListBullet"/>
            </w:pPr>
            <w:r w:rsidRPr="001A66E4">
              <w:t>access issues such as gender</w:t>
            </w:r>
          </w:p>
          <w:p w:rsidR="00000000" w:rsidRPr="001A66E4" w:rsidP="001A66E4">
            <w:pPr>
              <w:pStyle w:val="ListBullet"/>
            </w:pPr>
            <w:r w:rsidRPr="001A66E4">
              <w:t>consultation with and involvement of appropriate Community members</w:t>
            </w:r>
          </w:p>
          <w:p w:rsidR="00000000" w:rsidRPr="001A66E4" w:rsidP="001A66E4">
            <w:pPr>
              <w:pStyle w:val="ListBullet"/>
            </w:pPr>
            <w:r w:rsidRPr="001A66E4">
              <w:t>descriptive or explanatory writing</w:t>
            </w:r>
          </w:p>
          <w:p w:rsidR="00000000" w:rsidRPr="001A66E4" w:rsidP="001A66E4">
            <w:pPr>
              <w:pStyle w:val="ListBullet"/>
            </w:pPr>
            <w:r w:rsidRPr="001A66E4">
              <w:t>fragility of material</w:t>
            </w:r>
          </w:p>
          <w:p w:rsidR="00000000" w:rsidRPr="001A66E4" w:rsidP="001A66E4">
            <w:pPr>
              <w:pStyle w:val="ListBullet"/>
            </w:pPr>
            <w:r w:rsidRPr="001A66E4">
              <w:t>id</w:t>
            </w:r>
            <w:r w:rsidRPr="001A66E4">
              <w:t>entification process</w:t>
            </w:r>
          </w:p>
          <w:p w:rsidR="00000000" w:rsidP="001A66E4">
            <w:pPr>
              <w:pStyle w:val="ListBullet"/>
              <w:rPr>
                <w:lang w:val="en-NZ"/>
              </w:rPr>
            </w:pPr>
            <w:r w:rsidRPr="001A66E4">
              <w:t>interpretation method</w:t>
            </w:r>
          </w:p>
        </w:tc>
      </w:tr>
      <w:tr w:rsidTr="00235AA0">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A66E4">
            <w:pPr>
              <w:pStyle w:val="BodyText"/>
              <w:rPr>
                <w:lang w:val="en-NZ"/>
              </w:rPr>
            </w:pPr>
            <w:r w:rsidRPr="001A66E4">
              <w:rPr>
                <w:rStyle w:val="BoldandItalics"/>
              </w:rPr>
              <w:t xml:space="preserve">cultural requirements </w:t>
            </w:r>
            <w:r w:rsidRPr="001A66E4">
              <w:t>may relate to:</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A66E4" w:rsidP="001A66E4">
            <w:pPr>
              <w:pStyle w:val="ListBullet"/>
            </w:pPr>
            <w:r w:rsidRPr="001A66E4">
              <w:t>access to material and associated research</w:t>
            </w:r>
          </w:p>
          <w:p w:rsidR="00000000" w:rsidRPr="001A66E4" w:rsidP="001A66E4">
            <w:pPr>
              <w:pStyle w:val="ListBullet"/>
            </w:pPr>
            <w:r w:rsidRPr="001A66E4">
              <w:t>any ceremony or procedure that should be carried out around the handling and/or moving of material</w:t>
            </w:r>
          </w:p>
          <w:p w:rsidR="00000000" w:rsidRPr="001A66E4" w:rsidP="001A66E4">
            <w:pPr>
              <w:pStyle w:val="ListBullet"/>
            </w:pPr>
            <w:r w:rsidRPr="001A66E4">
              <w:t>storage of material</w:t>
            </w:r>
          </w:p>
          <w:p w:rsidR="00000000" w:rsidRPr="001A66E4" w:rsidP="001A66E4">
            <w:pPr>
              <w:pStyle w:val="ListBullet"/>
            </w:pPr>
            <w:r w:rsidRPr="001A66E4">
              <w:t>the way material should be transported</w:t>
            </w:r>
          </w:p>
          <w:p w:rsidR="00000000" w:rsidRPr="001A66E4" w:rsidP="001A66E4">
            <w:pPr>
              <w:pStyle w:val="ListBullet"/>
            </w:pPr>
            <w:r w:rsidRPr="001A66E4">
              <w:t>use of equipment or tools</w:t>
            </w:r>
          </w:p>
          <w:p w:rsidR="00000000" w:rsidRPr="001A66E4" w:rsidP="001A66E4">
            <w:pPr>
              <w:pStyle w:val="ListBullet"/>
            </w:pPr>
            <w:r w:rsidRPr="001A66E4">
              <w:t>who can describe or handle material</w:t>
            </w:r>
          </w:p>
          <w:p w:rsidR="00000000" w:rsidP="001A66E4">
            <w:pPr>
              <w:pStyle w:val="ListBullet"/>
              <w:rPr>
                <w:lang w:val="en-NZ"/>
              </w:rPr>
            </w:pPr>
            <w:r w:rsidRPr="001A66E4">
              <w:t>who can view or be around material</w:t>
            </w:r>
          </w:p>
        </w:tc>
      </w:tr>
      <w:tr w:rsidTr="00235AA0">
        <w:tblPrEx>
          <w:tblW w:w="0" w:type="auto"/>
          <w:tblLayout w:type="fixed"/>
          <w:tblCellMar>
            <w:left w:w="62" w:type="dxa"/>
            <w:right w:w="62" w:type="dxa"/>
          </w:tblCellMar>
          <w:tblLook w:val="0000"/>
        </w:tblPrEx>
        <w:tc>
          <w:tcPr>
            <w:tcW w:w="301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A66E4">
            <w:pPr>
              <w:pStyle w:val="BodyText"/>
              <w:rPr>
                <w:lang w:val="en-NZ"/>
              </w:rPr>
            </w:pPr>
            <w:r w:rsidRPr="001A66E4">
              <w:rPr>
                <w:rStyle w:val="BoldandItalics"/>
              </w:rPr>
              <w:t xml:space="preserve">specific requirements </w:t>
            </w:r>
            <w:r w:rsidRPr="001A66E4">
              <w:t>may relate to:</w:t>
            </w:r>
          </w:p>
        </w:tc>
        <w:tc>
          <w:tcPr>
            <w:tcW w:w="6061"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1A66E4" w:rsidP="001A66E4">
            <w:pPr>
              <w:pStyle w:val="ListBullet"/>
            </w:pPr>
            <w:r w:rsidRPr="001A66E4">
              <w:t>additional protection</w:t>
            </w:r>
          </w:p>
          <w:p w:rsidR="00000000" w:rsidRPr="001A66E4" w:rsidP="001A66E4">
            <w:pPr>
              <w:pStyle w:val="ListBullet"/>
            </w:pPr>
            <w:r w:rsidRPr="001A66E4">
              <w:t>cultural protocols, including Indigenous protocols</w:t>
            </w:r>
          </w:p>
          <w:p w:rsidR="00000000" w:rsidRPr="001A66E4" w:rsidP="001A66E4">
            <w:pPr>
              <w:pStyle w:val="ListBullet"/>
            </w:pPr>
            <w:r w:rsidRPr="001A66E4">
              <w:t>de-accli</w:t>
            </w:r>
            <w:r w:rsidRPr="001A66E4">
              <w:t>matisation periods for sensitive items</w:t>
            </w:r>
          </w:p>
          <w:p w:rsidR="00000000" w:rsidRPr="001A66E4" w:rsidP="001A66E4">
            <w:pPr>
              <w:pStyle w:val="ListBullet"/>
            </w:pPr>
            <w:r w:rsidRPr="001A66E4">
              <w:t>environmentally controlled packaging</w:t>
            </w:r>
          </w:p>
          <w:p w:rsidR="00000000" w:rsidRPr="001A66E4" w:rsidP="001A66E4">
            <w:pPr>
              <w:pStyle w:val="ListBullet"/>
            </w:pPr>
            <w:r w:rsidRPr="001A66E4">
              <w:t>object moving equipment</w:t>
            </w:r>
          </w:p>
          <w:p w:rsidR="00000000" w:rsidRPr="001A66E4" w:rsidP="001A66E4">
            <w:pPr>
              <w:pStyle w:val="ListBullet"/>
            </w:pPr>
            <w:r w:rsidRPr="001A66E4">
              <w:t>object support systems for moving or transfer</w:t>
            </w:r>
          </w:p>
          <w:p w:rsidR="00000000" w:rsidRPr="001A66E4" w:rsidP="001A66E4">
            <w:pPr>
              <w:pStyle w:val="ListBullet"/>
            </w:pPr>
            <w:r w:rsidRPr="001A66E4">
              <w:t>preventive pest management processes</w:t>
            </w:r>
          </w:p>
          <w:p w:rsidR="00000000" w:rsidRPr="001A66E4" w:rsidP="001A66E4">
            <w:pPr>
              <w:pStyle w:val="ListBullet"/>
            </w:pPr>
            <w:r w:rsidRPr="001A66E4">
              <w:t>use or non-use of certain items</w:t>
            </w:r>
          </w:p>
        </w:tc>
      </w:tr>
    </w:tbl>
    <w:p w:rsidR="00000000" w:rsidRPr="001A66E4" w:rsidP="001A66E4">
      <w:pPr>
        <w:pStyle w:val="BodyText"/>
      </w:pPr>
    </w:p>
    <w:p w:rsidR="00000000" w:rsidRPr="001A66E4" w:rsidP="001A66E4">
      <w:pPr>
        <w:pStyle w:val="AllowPageBreak"/>
      </w:pPr>
    </w:p>
    <w:p w:rsidR="00000000" w:rsidRPr="001A66E4" w:rsidP="001A66E4">
      <w:pPr>
        <w:pStyle w:val="Heading1"/>
      </w:pPr>
      <w:bookmarkStart w:id="12" w:name="O_520966"/>
      <w:bookmarkEnd w:id="12"/>
      <w:r w:rsidRPr="001A66E4">
        <w:t>Unit Sector(s)</w:t>
      </w:r>
    </w:p>
    <w:p w:rsidR="00000000" w:rsidRPr="001A66E4" w:rsidP="001A66E4">
      <w:pPr>
        <w:pStyle w:val="BodyText"/>
      </w:pPr>
      <w:r w:rsidRPr="001A66E4">
        <w:t>Aboriginal-sites work</w:t>
      </w:r>
    </w:p>
    <w:p w:rsidR="00000000" w:rsidRPr="001A66E4" w:rsidP="001A66E4"/>
    <w:sectPr w:rsidSect="001A66E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6E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6E4" w:rsidRPr="00235AA0" w:rsidP="00235A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6E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AA0" w:rsidP="001A66E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35AA0" w:rsidP="001A66E4">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AgriFood Skills Australia</w:t>
    </w:r>
    <w:r>
      <w:fldChar w:fldCharType="end"/>
    </w:r>
  </w:p>
  <w:p w:rsidR="00235AA0" w:rsidP="001A66E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6E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6E4" w:rsidRPr="00235AA0" w:rsidP="00235AA0">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66E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AA0" w:rsidRPr="002D2AF8" w:rsidP="001A66E4">
    <w:pPr>
      <w:pStyle w:val="Header"/>
      <w:framePr w:wrap="around"/>
    </w:pPr>
    <w:r>
      <w:fldChar w:fldCharType="begin"/>
    </w:r>
    <w:r>
      <w:instrText xml:space="preserve"> TITLE   \* MERGEFORMAT </w:instrText>
    </w:r>
    <w:r>
      <w:fldChar w:fldCharType="separate"/>
    </w:r>
    <w:r>
      <w:t>AHCASW305A Work with Aboriginal ceremonial secret sacred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1/03/2013</w:t>
    </w:r>
    <w:r>
      <w:fldChar w:fldCharType="end"/>
    </w:r>
  </w:p>
  <w:p w:rsidR="00235AA0" w:rsidP="001A66E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766E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5607F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F0CA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66E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66E4"/>
    <w:pPr>
      <w:spacing w:before="360" w:after="60"/>
      <w:outlineLvl w:val="0"/>
    </w:pPr>
    <w:rPr>
      <w:sz w:val="32"/>
    </w:rPr>
  </w:style>
  <w:style w:type="paragraph" w:styleId="Heading2">
    <w:name w:val="heading 2"/>
    <w:basedOn w:val="HeadingBase"/>
    <w:next w:val="BodyText"/>
    <w:link w:val="Heading2Char"/>
    <w:qFormat/>
    <w:rsid w:val="001A66E4"/>
    <w:pPr>
      <w:keepLines/>
      <w:spacing w:before="240" w:after="120"/>
      <w:outlineLvl w:val="1"/>
    </w:pPr>
    <w:rPr>
      <w:sz w:val="28"/>
      <w:szCs w:val="40"/>
    </w:rPr>
  </w:style>
  <w:style w:type="paragraph" w:styleId="Heading3">
    <w:name w:val="heading 3"/>
    <w:basedOn w:val="HeadingBase"/>
    <w:next w:val="BodyText"/>
    <w:link w:val="Heading3Char"/>
    <w:qFormat/>
    <w:rsid w:val="001A66E4"/>
    <w:pPr>
      <w:spacing w:before="180" w:after="120"/>
      <w:outlineLvl w:val="2"/>
    </w:pPr>
    <w:rPr>
      <w:spacing w:val="-10"/>
      <w:kern w:val="32"/>
    </w:rPr>
  </w:style>
  <w:style w:type="paragraph" w:styleId="Heading4">
    <w:name w:val="heading 4"/>
    <w:basedOn w:val="HeadingBase"/>
    <w:next w:val="BodyText"/>
    <w:link w:val="Heading4Char"/>
    <w:qFormat/>
    <w:rsid w:val="001A66E4"/>
    <w:pPr>
      <w:spacing w:before="160" w:after="120"/>
      <w:outlineLvl w:val="3"/>
    </w:pPr>
    <w:rPr>
      <w:sz w:val="22"/>
    </w:rPr>
  </w:style>
  <w:style w:type="paragraph" w:styleId="Heading5">
    <w:name w:val="heading 5"/>
    <w:basedOn w:val="HeadingBase"/>
    <w:next w:val="Normal"/>
    <w:link w:val="Heading5Char"/>
    <w:qFormat/>
    <w:rsid w:val="001A66E4"/>
    <w:pPr>
      <w:spacing w:before="80"/>
      <w:outlineLvl w:val="4"/>
    </w:pPr>
    <w:rPr>
      <w:color w:val="918585"/>
      <w:sz w:val="20"/>
    </w:rPr>
  </w:style>
  <w:style w:type="paragraph" w:styleId="Heading6">
    <w:name w:val="heading 6"/>
    <w:basedOn w:val="HeadingBase"/>
    <w:next w:val="Normal"/>
    <w:link w:val="Heading6Char"/>
    <w:qFormat/>
    <w:rsid w:val="001A66E4"/>
    <w:pPr>
      <w:spacing w:before="60"/>
      <w:outlineLvl w:val="5"/>
    </w:pPr>
    <w:rPr>
      <w:color w:val="918585"/>
      <w:sz w:val="20"/>
    </w:rPr>
  </w:style>
  <w:style w:type="paragraph" w:styleId="Heading7">
    <w:name w:val="heading 7"/>
    <w:basedOn w:val="Normal"/>
    <w:next w:val="Normal"/>
    <w:link w:val="Heading7Char"/>
    <w:qFormat/>
    <w:rsid w:val="001A66E4"/>
    <w:pPr>
      <w:ind w:left="720"/>
      <w:outlineLvl w:val="6"/>
    </w:pPr>
    <w:rPr>
      <w:i/>
    </w:rPr>
  </w:style>
  <w:style w:type="paragraph" w:styleId="Heading8">
    <w:name w:val="heading 8"/>
    <w:basedOn w:val="Normal"/>
    <w:next w:val="Normal"/>
    <w:link w:val="Heading8Char"/>
    <w:qFormat/>
    <w:rsid w:val="001A66E4"/>
    <w:pPr>
      <w:ind w:left="720"/>
      <w:outlineLvl w:val="7"/>
    </w:pPr>
    <w:rPr>
      <w:i/>
    </w:rPr>
  </w:style>
  <w:style w:type="paragraph" w:styleId="Heading9">
    <w:name w:val="heading 9"/>
    <w:basedOn w:val="Normal"/>
    <w:next w:val="Normal"/>
    <w:link w:val="Heading9Char"/>
    <w:qFormat/>
    <w:rsid w:val="001A66E4"/>
    <w:pPr>
      <w:ind w:left="720"/>
      <w:outlineLvl w:val="8"/>
    </w:pPr>
    <w:rPr>
      <w:i/>
    </w:rPr>
  </w:style>
  <w:style w:type="character" w:default="1" w:styleId="DefaultParagraphFont">
    <w:name w:val="Default Paragraph Font"/>
    <w:uiPriority w:val="1"/>
    <w:unhideWhenUsed/>
    <w:rsid w:val="001A66E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66E4"/>
  </w:style>
  <w:style w:type="character" w:customStyle="1" w:styleId="Heading1Char">
    <w:name w:val="Heading 1 Char"/>
    <w:basedOn w:val="DefaultParagraphFont"/>
    <w:link w:val="Heading1"/>
    <w:rsid w:val="001A66E4"/>
    <w:rPr>
      <w:rFonts w:ascii="Times New Roman" w:eastAsia="Times New Roman" w:hAnsi="Times New Roman" w:cs="Times New Roman"/>
      <w:b/>
      <w:sz w:val="32"/>
      <w:szCs w:val="20"/>
      <w:lang w:eastAsia="en-US"/>
    </w:rPr>
  </w:style>
  <w:style w:type="paragraph" w:styleId="BodyText">
    <w:name w:val="Body Text"/>
    <w:basedOn w:val="Normal"/>
    <w:link w:val="BodyTextChar"/>
    <w:rsid w:val="001A66E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A66E4"/>
    <w:rPr>
      <w:rFonts w:ascii="Times New Roman" w:eastAsia="Times New Roman" w:hAnsi="Times New Roman" w:cs="Times New Roman"/>
      <w:sz w:val="24"/>
      <w:lang w:eastAsia="en-US"/>
    </w:rPr>
  </w:style>
  <w:style w:type="paragraph" w:styleId="List">
    <w:name w:val="List"/>
    <w:basedOn w:val="BodyText"/>
    <w:next w:val="BodyText"/>
    <w:rsid w:val="001A66E4"/>
    <w:pPr>
      <w:tabs>
        <w:tab w:val="left" w:pos="340"/>
      </w:tabs>
      <w:spacing w:before="60" w:after="60"/>
      <w:ind w:left="340" w:hanging="340"/>
    </w:pPr>
  </w:style>
  <w:style w:type="paragraph" w:styleId="ListBullet">
    <w:name w:val="List Bullet"/>
    <w:basedOn w:val="List"/>
    <w:rsid w:val="001A66E4"/>
    <w:pPr>
      <w:numPr>
        <w:numId w:val="13"/>
      </w:numPr>
      <w:tabs>
        <w:tab w:val="clear" w:pos="340"/>
      </w:tabs>
      <w:spacing w:before="40" w:after="40"/>
    </w:pPr>
  </w:style>
  <w:style w:type="character" w:customStyle="1" w:styleId="SpecialBold">
    <w:name w:val="Special Bold"/>
    <w:basedOn w:val="DefaultParagraphFont"/>
    <w:rsid w:val="001A66E4"/>
    <w:rPr>
      <w:b/>
      <w:spacing w:val="0"/>
    </w:rPr>
  </w:style>
  <w:style w:type="paragraph" w:styleId="ListBullet2">
    <w:name w:val="List Bullet 2"/>
    <w:basedOn w:val="List2"/>
    <w:rsid w:val="001A66E4"/>
    <w:pPr>
      <w:numPr>
        <w:numId w:val="14"/>
      </w:numPr>
      <w:tabs>
        <w:tab w:val="clear" w:pos="680"/>
      </w:tabs>
    </w:pPr>
  </w:style>
  <w:style w:type="paragraph" w:customStyle="1" w:styleId="SuperHeading">
    <w:name w:val="SuperHeading"/>
    <w:basedOn w:val="Normal"/>
    <w:rsid w:val="001A66E4"/>
    <w:pPr>
      <w:spacing w:before="240" w:after="120"/>
      <w:outlineLvl w:val="0"/>
    </w:pPr>
    <w:rPr>
      <w:rFonts w:ascii="Times New Roman" w:hAnsi="Times New Roman"/>
      <w:b/>
      <w:sz w:val="32"/>
    </w:rPr>
  </w:style>
  <w:style w:type="paragraph" w:customStyle="1" w:styleId="TableHeading">
    <w:name w:val="Table Heading"/>
    <w:basedOn w:val="HeadingBase"/>
    <w:rsid w:val="001A66E4"/>
    <w:pPr>
      <w:keepLines/>
      <w:pBdr>
        <w:bottom w:val="single" w:sz="6" w:space="1" w:color="918585"/>
      </w:pBdr>
      <w:spacing w:before="240"/>
    </w:pPr>
  </w:style>
  <w:style w:type="paragraph" w:customStyle="1" w:styleId="AllowPageBreak">
    <w:name w:val="AllowPageBreak"/>
    <w:rsid w:val="001A66E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A66E4"/>
    <w:rPr>
      <w:b/>
      <w:i/>
      <w:u w:val="none"/>
    </w:rPr>
  </w:style>
  <w:style w:type="character" w:customStyle="1" w:styleId="Heading2Char">
    <w:name w:val="Heading 2 Char"/>
    <w:basedOn w:val="DefaultParagraphFont"/>
    <w:link w:val="Heading2"/>
    <w:rsid w:val="001A66E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66E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66E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66E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66E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66E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66E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66E4"/>
    <w:rPr>
      <w:rFonts w:ascii="Courier New" w:eastAsia="Times New Roman" w:hAnsi="Courier New" w:cs="Times New Roman"/>
      <w:i/>
      <w:szCs w:val="20"/>
      <w:lang w:eastAsia="en-US"/>
    </w:rPr>
  </w:style>
  <w:style w:type="paragraph" w:customStyle="1" w:styleId="HeadingBase">
    <w:name w:val="Heading Base"/>
    <w:rsid w:val="001A66E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66E4"/>
    <w:pPr>
      <w:tabs>
        <w:tab w:val="right" w:leader="dot" w:pos="9072"/>
      </w:tabs>
      <w:ind w:left="567"/>
    </w:pPr>
    <w:rPr>
      <w:szCs w:val="22"/>
    </w:rPr>
  </w:style>
  <w:style w:type="paragraph" w:customStyle="1" w:styleId="TOCBase">
    <w:name w:val="TOC Base"/>
    <w:rsid w:val="001A66E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66E4"/>
    <w:pPr>
      <w:tabs>
        <w:tab w:val="right" w:leader="dot" w:pos="9072"/>
      </w:tabs>
      <w:spacing w:before="40" w:after="40"/>
      <w:ind w:left="284"/>
    </w:pPr>
    <w:rPr>
      <w:rFonts w:ascii="Times New Roman" w:hAnsi="Times New Roman"/>
    </w:rPr>
  </w:style>
  <w:style w:type="paragraph" w:styleId="TOC1">
    <w:name w:val="toc 1"/>
    <w:basedOn w:val="TOCBase"/>
    <w:next w:val="Normal"/>
    <w:rsid w:val="001A66E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66E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66E4"/>
    <w:rPr>
      <w:rFonts w:ascii="Times New Roman" w:eastAsia="Times New Roman" w:hAnsi="Times New Roman" w:cs="Times New Roman"/>
      <w:sz w:val="16"/>
      <w:lang w:eastAsia="en-US"/>
    </w:rPr>
  </w:style>
  <w:style w:type="paragraph" w:styleId="Title">
    <w:name w:val="Title"/>
    <w:basedOn w:val="HeadingBase"/>
    <w:link w:val="TitleChar"/>
    <w:qFormat/>
    <w:rsid w:val="001A66E4"/>
    <w:pPr>
      <w:spacing w:before="5040"/>
      <w:jc w:val="center"/>
    </w:pPr>
    <w:rPr>
      <w:sz w:val="48"/>
      <w:szCs w:val="72"/>
      <w:lang w:val="en-US"/>
    </w:rPr>
  </w:style>
  <w:style w:type="character" w:customStyle="1" w:styleId="TitleChar">
    <w:name w:val="Title Char"/>
    <w:basedOn w:val="DefaultParagraphFont"/>
    <w:link w:val="Title"/>
    <w:rsid w:val="001A66E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66E4"/>
    <w:pPr>
      <w:tabs>
        <w:tab w:val="left" w:pos="3600"/>
        <w:tab w:val="left" w:pos="3958"/>
      </w:tabs>
    </w:pPr>
  </w:style>
  <w:style w:type="paragraph" w:customStyle="1" w:styleId="Note">
    <w:name w:val="Note"/>
    <w:basedOn w:val="BodyText"/>
    <w:rsid w:val="001A66E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66E4"/>
    <w:pPr>
      <w:framePr w:wrap="auto" w:hAnchor="text" w:y="6049"/>
    </w:pPr>
    <w:rPr>
      <w:color w:val="000000"/>
      <w:sz w:val="40"/>
    </w:rPr>
  </w:style>
  <w:style w:type="paragraph" w:customStyle="1" w:styleId="TOCTitle">
    <w:name w:val="TOCTitle"/>
    <w:basedOn w:val="Heading1"/>
    <w:rsid w:val="001A66E4"/>
    <w:pPr>
      <w:spacing w:after="240"/>
      <w:jc w:val="center"/>
      <w:outlineLvl w:val="9"/>
    </w:pPr>
    <w:rPr>
      <w:caps/>
    </w:rPr>
  </w:style>
  <w:style w:type="paragraph" w:customStyle="1" w:styleId="Version">
    <w:name w:val="Version"/>
    <w:rsid w:val="001A66E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66E4"/>
    <w:pPr>
      <w:keepNext w:val="0"/>
      <w:tabs>
        <w:tab w:val="right" w:pos="4176"/>
      </w:tabs>
      <w:ind w:left="198" w:hanging="198"/>
    </w:pPr>
    <w:rPr>
      <w:rFonts w:ascii="Garamond" w:hAnsi="Garamond"/>
    </w:rPr>
  </w:style>
  <w:style w:type="paragraph" w:styleId="IndexHeading">
    <w:name w:val="index heading"/>
    <w:basedOn w:val="Normal"/>
    <w:next w:val="Index1"/>
    <w:semiHidden/>
    <w:rsid w:val="001A66E4"/>
    <w:pPr>
      <w:spacing w:before="120" w:after="120"/>
    </w:pPr>
    <w:rPr>
      <w:rFonts w:ascii="Arial" w:hAnsi="Arial"/>
      <w:b/>
      <w:color w:val="918585"/>
      <w:sz w:val="24"/>
    </w:rPr>
  </w:style>
  <w:style w:type="paragraph" w:styleId="Header">
    <w:name w:val="header"/>
    <w:basedOn w:val="Normal"/>
    <w:link w:val="HeaderChar"/>
    <w:rsid w:val="001A66E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66E4"/>
    <w:rPr>
      <w:rFonts w:ascii="Times New Roman" w:eastAsia="Times New Roman" w:hAnsi="Times New Roman" w:cs="Times New Roman"/>
      <w:sz w:val="16"/>
      <w:szCs w:val="20"/>
      <w:lang w:val="en-GB" w:eastAsia="en-US"/>
    </w:rPr>
  </w:style>
  <w:style w:type="paragraph" w:customStyle="1" w:styleId="Chapter">
    <w:name w:val="Chapter"/>
    <w:basedOn w:val="Normal"/>
    <w:rsid w:val="001A66E4"/>
    <w:pPr>
      <w:spacing w:before="240"/>
    </w:pPr>
    <w:rPr>
      <w:rFonts w:ascii="Times New Roman" w:hAnsi="Times New Roman"/>
      <w:smallCaps/>
      <w:spacing w:val="80"/>
      <w:sz w:val="28"/>
    </w:rPr>
  </w:style>
  <w:style w:type="paragraph" w:customStyle="1" w:styleId="InChapter">
    <w:name w:val="InChapter"/>
    <w:basedOn w:val="Heading3"/>
    <w:rsid w:val="001A66E4"/>
    <w:pPr>
      <w:spacing w:after="240"/>
      <w:outlineLvl w:val="9"/>
    </w:pPr>
    <w:rPr>
      <w:noProof/>
    </w:rPr>
  </w:style>
  <w:style w:type="paragraph" w:styleId="Index2">
    <w:name w:val="index 2"/>
    <w:basedOn w:val="Normal"/>
    <w:next w:val="Normal"/>
    <w:semiHidden/>
    <w:rsid w:val="001A66E4"/>
    <w:pPr>
      <w:tabs>
        <w:tab w:val="right" w:pos="4176"/>
      </w:tabs>
      <w:ind w:left="568" w:hanging="284"/>
    </w:pPr>
    <w:rPr>
      <w:rFonts w:ascii="Garamond" w:hAnsi="Garamond"/>
    </w:rPr>
  </w:style>
  <w:style w:type="paragraph" w:customStyle="1" w:styleId="Byline">
    <w:name w:val="Byline"/>
    <w:rsid w:val="001A66E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66E4"/>
    <w:pPr>
      <w:tabs>
        <w:tab w:val="clear" w:pos="3600"/>
        <w:tab w:val="clear" w:pos="3958"/>
      </w:tabs>
      <w:jc w:val="right"/>
    </w:pPr>
  </w:style>
  <w:style w:type="character" w:styleId="Emphasis">
    <w:name w:val="Emphasis"/>
    <w:basedOn w:val="DefaultParagraphFont"/>
    <w:qFormat/>
    <w:rsid w:val="001A66E4"/>
    <w:rPr>
      <w:i/>
    </w:rPr>
  </w:style>
  <w:style w:type="paragraph" w:styleId="Caption">
    <w:name w:val="caption"/>
    <w:basedOn w:val="BodyText"/>
    <w:next w:val="Normal"/>
    <w:qFormat/>
    <w:rsid w:val="001A66E4"/>
    <w:pPr>
      <w:framePr w:w="2268" w:hSpace="181" w:vSpace="181" w:wrap="around" w:vAnchor="text" w:hAnchor="page" w:x="1135" w:y="285" w:anchorLock="1"/>
    </w:pPr>
    <w:rPr>
      <w:i/>
    </w:rPr>
  </w:style>
  <w:style w:type="paragraph" w:customStyle="1" w:styleId="MiniTOCTitle">
    <w:name w:val="MiniTOCTitle"/>
    <w:basedOn w:val="Heading4"/>
    <w:rsid w:val="001A66E4"/>
    <w:pPr>
      <w:spacing w:before="240"/>
      <w:outlineLvl w:val="9"/>
    </w:pPr>
    <w:rPr>
      <w:noProof/>
      <w:sz w:val="24"/>
    </w:rPr>
  </w:style>
  <w:style w:type="paragraph" w:customStyle="1" w:styleId="MiniTOCItem">
    <w:name w:val="MiniTOCItem"/>
    <w:basedOn w:val="ListBullet"/>
    <w:rsid w:val="001A66E4"/>
    <w:pPr>
      <w:numPr>
        <w:numId w:val="0"/>
      </w:numPr>
      <w:tabs>
        <w:tab w:val="right" w:leader="dot" w:pos="6521"/>
      </w:tabs>
      <w:spacing w:before="0" w:after="0"/>
    </w:pPr>
  </w:style>
  <w:style w:type="paragraph" w:customStyle="1" w:styleId="TOFTitle">
    <w:name w:val="TOFTitle"/>
    <w:basedOn w:val="TOCTitle"/>
    <w:rsid w:val="001A66E4"/>
  </w:style>
  <w:style w:type="paragraph" w:styleId="TableofFigures">
    <w:name w:val="table of figures"/>
    <w:basedOn w:val="Normal"/>
    <w:next w:val="Normal"/>
    <w:semiHidden/>
    <w:rsid w:val="001A66E4"/>
    <w:pPr>
      <w:tabs>
        <w:tab w:val="right" w:leader="dot" w:pos="9072"/>
      </w:tabs>
      <w:ind w:left="970" w:hanging="403"/>
    </w:pPr>
    <w:rPr>
      <w:rFonts w:ascii="Times New Roman" w:hAnsi="Times New Roman"/>
      <w:b/>
    </w:rPr>
  </w:style>
  <w:style w:type="paragraph" w:styleId="ListNumber">
    <w:name w:val="List Number"/>
    <w:basedOn w:val="List"/>
    <w:rsid w:val="001A66E4"/>
    <w:pPr>
      <w:numPr>
        <w:numId w:val="11"/>
      </w:numPr>
    </w:pPr>
  </w:style>
  <w:style w:type="character" w:customStyle="1" w:styleId="WingdingSymbols">
    <w:name w:val="Wingding Symbols"/>
    <w:rsid w:val="001A66E4"/>
    <w:rPr>
      <w:rFonts w:ascii="Wingdings" w:hAnsi="Wingdings"/>
    </w:rPr>
  </w:style>
  <w:style w:type="character" w:customStyle="1" w:styleId="HotSpot">
    <w:name w:val="HotSpot"/>
    <w:rsid w:val="001A66E4"/>
    <w:rPr>
      <w:color w:val="0033CC"/>
      <w:u w:val="none"/>
    </w:rPr>
  </w:style>
  <w:style w:type="paragraph" w:customStyle="1" w:styleId="BodyTextRight">
    <w:name w:val="Body Text Right"/>
    <w:basedOn w:val="BodyText"/>
    <w:rsid w:val="001A66E4"/>
    <w:pPr>
      <w:spacing w:before="0" w:after="0"/>
      <w:jc w:val="right"/>
    </w:pPr>
  </w:style>
  <w:style w:type="paragraph" w:styleId="Index3">
    <w:name w:val="index 3"/>
    <w:basedOn w:val="ListNumber2"/>
    <w:next w:val="Normal"/>
    <w:semiHidden/>
    <w:rsid w:val="001A66E4"/>
    <w:pPr>
      <w:numPr>
        <w:numId w:val="0"/>
      </w:numPr>
      <w:tabs>
        <w:tab w:val="right" w:leader="dot" w:pos="4176"/>
      </w:tabs>
    </w:pPr>
  </w:style>
  <w:style w:type="paragraph" w:styleId="ListNumber2">
    <w:name w:val="List Number 2"/>
    <w:basedOn w:val="List2"/>
    <w:rsid w:val="001A66E4"/>
    <w:pPr>
      <w:numPr>
        <w:numId w:val="10"/>
      </w:numPr>
      <w:tabs>
        <w:tab w:val="clear" w:pos="1060"/>
      </w:tabs>
    </w:pPr>
  </w:style>
  <w:style w:type="paragraph" w:customStyle="1" w:styleId="MarginNote">
    <w:name w:val="Margin Note"/>
    <w:basedOn w:val="BodyText"/>
    <w:rsid w:val="001A66E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66E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66E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66E4"/>
    <w:rPr>
      <w:sz w:val="32"/>
    </w:rPr>
  </w:style>
  <w:style w:type="paragraph" w:customStyle="1" w:styleId="HeadingProcedure">
    <w:name w:val="Heading Procedure"/>
    <w:basedOn w:val="HeadingBase"/>
    <w:next w:val="Normal"/>
    <w:rsid w:val="001A66E4"/>
    <w:pPr>
      <w:tabs>
        <w:tab w:val="left" w:pos="0"/>
      </w:tabs>
      <w:spacing w:before="120" w:after="60"/>
    </w:pPr>
    <w:rPr>
      <w:i/>
      <w:color w:val="918585"/>
      <w:sz w:val="22"/>
    </w:rPr>
  </w:style>
  <w:style w:type="paragraph" w:customStyle="1" w:styleId="TableBodyText">
    <w:name w:val="Table Body Text"/>
    <w:basedOn w:val="BodyText"/>
    <w:rsid w:val="001A66E4"/>
    <w:pPr>
      <w:spacing w:before="60" w:after="60"/>
    </w:pPr>
  </w:style>
  <w:style w:type="paragraph" w:styleId="ListContinue">
    <w:name w:val="List Continue"/>
    <w:basedOn w:val="List"/>
    <w:rsid w:val="001A66E4"/>
    <w:pPr>
      <w:ind w:firstLine="0"/>
    </w:pPr>
  </w:style>
  <w:style w:type="paragraph" w:customStyle="1" w:styleId="ListNote">
    <w:name w:val="List Note"/>
    <w:basedOn w:val="List"/>
    <w:rsid w:val="001A66E4"/>
    <w:pPr>
      <w:pBdr>
        <w:top w:val="single" w:sz="6" w:space="2" w:color="918585"/>
        <w:bottom w:val="single" w:sz="6" w:space="2" w:color="918585"/>
      </w:pBdr>
      <w:tabs>
        <w:tab w:val="left" w:pos="1021"/>
      </w:tabs>
      <w:ind w:firstLine="0"/>
    </w:pPr>
  </w:style>
  <w:style w:type="paragraph" w:customStyle="1" w:styleId="Warning">
    <w:name w:val="Warning"/>
    <w:basedOn w:val="BodyText"/>
    <w:rsid w:val="001A66E4"/>
    <w:pPr>
      <w:shd w:val="clear" w:color="auto" w:fill="D9D9D9"/>
      <w:tabs>
        <w:tab w:val="left" w:pos="992"/>
      </w:tabs>
      <w:ind w:left="119" w:right="119"/>
    </w:pPr>
    <w:rPr>
      <w:sz w:val="20"/>
    </w:rPr>
  </w:style>
  <w:style w:type="paragraph" w:customStyle="1" w:styleId="MarginIcons">
    <w:name w:val="Margin Icons"/>
    <w:basedOn w:val="BodyText"/>
    <w:rsid w:val="001A66E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66E4"/>
    <w:rPr>
      <w:rFonts w:ascii="Courier New" w:hAnsi="Courier New"/>
    </w:rPr>
  </w:style>
  <w:style w:type="paragraph" w:customStyle="1" w:styleId="NoteBullet">
    <w:name w:val="Note Bullet"/>
    <w:basedOn w:val="Note"/>
    <w:rsid w:val="001A66E4"/>
    <w:pPr>
      <w:tabs>
        <w:tab w:val="clear" w:pos="680"/>
      </w:tabs>
      <w:spacing w:before="60" w:after="60"/>
    </w:pPr>
  </w:style>
  <w:style w:type="paragraph" w:customStyle="1" w:styleId="SubHeading2">
    <w:name w:val="SubHeading2"/>
    <w:basedOn w:val="HeadingBase"/>
    <w:rsid w:val="001A66E4"/>
    <w:pPr>
      <w:spacing w:before="240" w:after="60"/>
    </w:pPr>
    <w:rPr>
      <w:sz w:val="20"/>
    </w:rPr>
  </w:style>
  <w:style w:type="paragraph" w:customStyle="1" w:styleId="SubHeading1">
    <w:name w:val="SubHeading1"/>
    <w:basedOn w:val="HeadingBase"/>
    <w:rsid w:val="001A66E4"/>
    <w:pPr>
      <w:spacing w:before="240" w:after="60"/>
    </w:pPr>
    <w:rPr>
      <w:color w:val="918585"/>
      <w:sz w:val="22"/>
    </w:rPr>
  </w:style>
  <w:style w:type="paragraph" w:customStyle="1" w:styleId="SideHeading">
    <w:name w:val="Side Heading"/>
    <w:basedOn w:val="HeadingBase"/>
    <w:rsid w:val="001A66E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66E4"/>
    <w:pPr>
      <w:numPr>
        <w:numId w:val="12"/>
      </w:numPr>
    </w:pPr>
  </w:style>
  <w:style w:type="paragraph" w:styleId="PlainText">
    <w:name w:val="Plain Text"/>
    <w:basedOn w:val="Normal"/>
    <w:link w:val="PlainTextChar"/>
    <w:rsid w:val="001A66E4"/>
    <w:rPr>
      <w:sz w:val="20"/>
    </w:rPr>
  </w:style>
  <w:style w:type="character" w:customStyle="1" w:styleId="PlainTextChar">
    <w:name w:val="Plain Text Char"/>
    <w:basedOn w:val="DefaultParagraphFont"/>
    <w:link w:val="PlainText"/>
    <w:rsid w:val="001A66E4"/>
    <w:rPr>
      <w:rFonts w:ascii="Courier New" w:eastAsia="Times New Roman" w:hAnsi="Courier New" w:cs="Times New Roman"/>
      <w:sz w:val="20"/>
      <w:szCs w:val="20"/>
      <w:lang w:eastAsia="en-US"/>
    </w:rPr>
  </w:style>
  <w:style w:type="character" w:customStyle="1" w:styleId="MenuOption">
    <w:name w:val="Menu Option"/>
    <w:basedOn w:val="DefaultParagraphFont"/>
    <w:rsid w:val="001A66E4"/>
    <w:rPr>
      <w:b/>
      <w:smallCaps/>
    </w:rPr>
  </w:style>
  <w:style w:type="paragraph" w:customStyle="1" w:styleId="TableListNumber">
    <w:name w:val="Table List Number"/>
    <w:basedOn w:val="ListNumber"/>
    <w:rsid w:val="001A66E4"/>
    <w:pPr>
      <w:numPr>
        <w:numId w:val="0"/>
      </w:numPr>
    </w:pPr>
  </w:style>
  <w:style w:type="paragraph" w:styleId="TOC4">
    <w:name w:val="toc 4"/>
    <w:basedOn w:val="TOCBase"/>
    <w:next w:val="Normal"/>
    <w:semiHidden/>
    <w:rsid w:val="001A66E4"/>
    <w:pPr>
      <w:tabs>
        <w:tab w:val="right" w:leader="dot" w:pos="9071"/>
      </w:tabs>
      <w:ind w:left="1701"/>
    </w:pPr>
  </w:style>
  <w:style w:type="paragraph" w:customStyle="1" w:styleId="ListAlpha">
    <w:name w:val="List Alpha"/>
    <w:basedOn w:val="List"/>
    <w:rsid w:val="001A66E4"/>
    <w:pPr>
      <w:numPr>
        <w:numId w:val="9"/>
      </w:numPr>
    </w:pPr>
  </w:style>
  <w:style w:type="paragraph" w:customStyle="1" w:styleId="ListAlpha2">
    <w:name w:val="List Alpha 2"/>
    <w:basedOn w:val="List2"/>
    <w:rsid w:val="001A66E4"/>
    <w:pPr>
      <w:numPr>
        <w:numId w:val="8"/>
      </w:numPr>
    </w:pPr>
  </w:style>
  <w:style w:type="paragraph" w:styleId="List2">
    <w:name w:val="List 2"/>
    <w:basedOn w:val="BodyText"/>
    <w:rsid w:val="001A66E4"/>
    <w:pPr>
      <w:tabs>
        <w:tab w:val="left" w:pos="680"/>
      </w:tabs>
      <w:spacing w:before="60" w:after="60"/>
      <w:ind w:left="680" w:hanging="340"/>
    </w:pPr>
  </w:style>
  <w:style w:type="paragraph" w:styleId="List3">
    <w:name w:val="List 3"/>
    <w:basedOn w:val="BodyText"/>
    <w:rsid w:val="001A66E4"/>
    <w:pPr>
      <w:tabs>
        <w:tab w:val="left" w:pos="1021"/>
      </w:tabs>
      <w:spacing w:before="60" w:after="60"/>
      <w:ind w:left="1020" w:hanging="340"/>
    </w:pPr>
  </w:style>
  <w:style w:type="paragraph" w:styleId="List4">
    <w:name w:val="List 4"/>
    <w:basedOn w:val="BodyText"/>
    <w:rsid w:val="001A66E4"/>
    <w:pPr>
      <w:tabs>
        <w:tab w:val="left" w:pos="1361"/>
      </w:tabs>
      <w:spacing w:before="60" w:after="60"/>
      <w:ind w:left="1361" w:hanging="340"/>
    </w:pPr>
  </w:style>
  <w:style w:type="paragraph" w:styleId="List5">
    <w:name w:val="List 5"/>
    <w:basedOn w:val="BodyText"/>
    <w:rsid w:val="001A66E4"/>
    <w:pPr>
      <w:tabs>
        <w:tab w:val="left" w:pos="1701"/>
      </w:tabs>
      <w:spacing w:before="60" w:after="60"/>
      <w:ind w:left="1701" w:hanging="340"/>
    </w:pPr>
  </w:style>
  <w:style w:type="paragraph" w:styleId="ListBullet3">
    <w:name w:val="List Bullet 3"/>
    <w:basedOn w:val="List3"/>
    <w:rsid w:val="001A66E4"/>
    <w:pPr>
      <w:numPr>
        <w:numId w:val="15"/>
      </w:numPr>
      <w:tabs>
        <w:tab w:val="clear" w:pos="1021"/>
      </w:tabs>
      <w:ind w:left="1037" w:hanging="357"/>
    </w:pPr>
  </w:style>
  <w:style w:type="paragraph" w:styleId="ListBullet4">
    <w:name w:val="List Bullet 4"/>
    <w:basedOn w:val="List4"/>
    <w:rsid w:val="001A66E4"/>
    <w:pPr>
      <w:numPr>
        <w:numId w:val="3"/>
      </w:numPr>
    </w:pPr>
  </w:style>
  <w:style w:type="paragraph" w:styleId="ListBullet5">
    <w:name w:val="List Bullet 5"/>
    <w:basedOn w:val="List5"/>
    <w:rsid w:val="001A66E4"/>
    <w:pPr>
      <w:numPr>
        <w:numId w:val="4"/>
      </w:numPr>
    </w:pPr>
  </w:style>
  <w:style w:type="paragraph" w:styleId="ListContinue2">
    <w:name w:val="List Continue 2"/>
    <w:basedOn w:val="List2"/>
    <w:rsid w:val="001A66E4"/>
    <w:pPr>
      <w:ind w:firstLine="0"/>
    </w:pPr>
  </w:style>
  <w:style w:type="paragraph" w:styleId="ListContinue3">
    <w:name w:val="List Continue 3"/>
    <w:basedOn w:val="List3"/>
    <w:rsid w:val="001A66E4"/>
    <w:pPr>
      <w:ind w:left="1021" w:firstLine="0"/>
    </w:pPr>
  </w:style>
  <w:style w:type="paragraph" w:styleId="ListContinue4">
    <w:name w:val="List Continue 4"/>
    <w:basedOn w:val="List4"/>
    <w:rsid w:val="001A66E4"/>
    <w:pPr>
      <w:ind w:firstLine="0"/>
    </w:pPr>
  </w:style>
  <w:style w:type="paragraph" w:styleId="ListContinue5">
    <w:name w:val="List Continue 5"/>
    <w:basedOn w:val="List5"/>
    <w:rsid w:val="001A66E4"/>
    <w:pPr>
      <w:ind w:firstLine="0"/>
    </w:pPr>
  </w:style>
  <w:style w:type="paragraph" w:styleId="ListNumber3">
    <w:name w:val="List Number 3"/>
    <w:basedOn w:val="List3"/>
    <w:rsid w:val="001A66E4"/>
    <w:pPr>
      <w:numPr>
        <w:numId w:val="5"/>
      </w:numPr>
    </w:pPr>
  </w:style>
  <w:style w:type="paragraph" w:styleId="ListNumber4">
    <w:name w:val="List Number 4"/>
    <w:basedOn w:val="List4"/>
    <w:rsid w:val="001A66E4"/>
    <w:pPr>
      <w:numPr>
        <w:numId w:val="6"/>
      </w:numPr>
    </w:pPr>
  </w:style>
  <w:style w:type="paragraph" w:styleId="ListNumber5">
    <w:name w:val="List Number 5"/>
    <w:basedOn w:val="List5"/>
    <w:rsid w:val="001A66E4"/>
    <w:pPr>
      <w:numPr>
        <w:numId w:val="7"/>
      </w:numPr>
    </w:pPr>
  </w:style>
  <w:style w:type="paragraph" w:styleId="BlockText">
    <w:name w:val="Block Text"/>
    <w:basedOn w:val="Normal"/>
    <w:rsid w:val="001A66E4"/>
    <w:pPr>
      <w:spacing w:after="120"/>
      <w:ind w:left="1440" w:right="1440"/>
    </w:pPr>
  </w:style>
  <w:style w:type="character" w:customStyle="1" w:styleId="Subscript">
    <w:name w:val="Subscript"/>
    <w:basedOn w:val="DefaultParagraphFont"/>
    <w:rsid w:val="001A66E4"/>
    <w:rPr>
      <w:sz w:val="16"/>
      <w:vertAlign w:val="subscript"/>
    </w:rPr>
  </w:style>
  <w:style w:type="character" w:customStyle="1" w:styleId="Superscript">
    <w:name w:val="Superscript"/>
    <w:basedOn w:val="DefaultParagraphFont"/>
    <w:rsid w:val="001A66E4"/>
    <w:rPr>
      <w:sz w:val="16"/>
      <w:vertAlign w:val="superscript"/>
    </w:rPr>
  </w:style>
  <w:style w:type="character" w:customStyle="1" w:styleId="Symbols">
    <w:name w:val="Symbols"/>
    <w:basedOn w:val="DefaultParagraphFont"/>
    <w:rsid w:val="001A66E4"/>
    <w:rPr>
      <w:rFonts w:ascii="Symbol" w:hAnsi="Symbol"/>
    </w:rPr>
  </w:style>
  <w:style w:type="character" w:customStyle="1" w:styleId="MenuOptions">
    <w:name w:val="Menu Options"/>
    <w:basedOn w:val="DefaultParagraphFont"/>
    <w:rsid w:val="001A66E4"/>
    <w:rPr>
      <w:rFonts w:ascii="Arial Narrow" w:hAnsi="Arial Narrow"/>
      <w:smallCaps/>
    </w:rPr>
  </w:style>
  <w:style w:type="character" w:customStyle="1" w:styleId="Buttons">
    <w:name w:val="Buttons"/>
    <w:basedOn w:val="DefaultParagraphFont"/>
    <w:rsid w:val="001A66E4"/>
    <w:rPr>
      <w:b/>
    </w:rPr>
  </w:style>
  <w:style w:type="character" w:customStyle="1" w:styleId="Underlined">
    <w:name w:val="Underlined"/>
    <w:basedOn w:val="DefaultParagraphFont"/>
    <w:rsid w:val="001A66E4"/>
    <w:rPr>
      <w:u w:val="single"/>
    </w:rPr>
  </w:style>
  <w:style w:type="paragraph" w:customStyle="1" w:styleId="TableBodyTextRight">
    <w:name w:val="Table Body Text Right"/>
    <w:basedOn w:val="TableBodyText"/>
    <w:rsid w:val="001A66E4"/>
    <w:pPr>
      <w:widowControl w:val="0"/>
      <w:autoSpaceDE w:val="0"/>
      <w:autoSpaceDN w:val="0"/>
      <w:adjustRightInd w:val="0"/>
      <w:jc w:val="right"/>
    </w:pPr>
    <w:rPr>
      <w:rFonts w:cs="Arial"/>
      <w:szCs w:val="18"/>
    </w:rPr>
  </w:style>
  <w:style w:type="paragraph" w:customStyle="1" w:styleId="CopyrightText">
    <w:name w:val="Copyright Text"/>
    <w:basedOn w:val="BodyText"/>
    <w:rsid w:val="001A66E4"/>
    <w:rPr>
      <w:sz w:val="18"/>
    </w:rPr>
  </w:style>
  <w:style w:type="paragraph" w:customStyle="1" w:styleId="BodySmallRight">
    <w:name w:val="Body Small Right"/>
    <w:basedOn w:val="BodyTextRight"/>
    <w:rsid w:val="001A66E4"/>
    <w:rPr>
      <w:sz w:val="18"/>
      <w:szCs w:val="18"/>
    </w:rPr>
  </w:style>
  <w:style w:type="paragraph" w:customStyle="1" w:styleId="MarginEdition">
    <w:name w:val="Margin Edition"/>
    <w:basedOn w:val="MarginNote"/>
    <w:rsid w:val="001A66E4"/>
    <w:pPr>
      <w:spacing w:before="0" w:after="0"/>
    </w:pPr>
    <w:rPr>
      <w:rFonts w:ascii="Times New Roman" w:hAnsi="Times New Roman"/>
      <w:color w:val="999999"/>
    </w:rPr>
  </w:style>
  <w:style w:type="paragraph" w:customStyle="1" w:styleId="Spacer">
    <w:name w:val="Spacer"/>
    <w:basedOn w:val="Normal"/>
    <w:rsid w:val="001A66E4"/>
    <w:rPr>
      <w:sz w:val="2"/>
      <w:szCs w:val="2"/>
    </w:rPr>
  </w:style>
  <w:style w:type="character" w:customStyle="1" w:styleId="Small">
    <w:name w:val="Small"/>
    <w:basedOn w:val="DefaultParagraphFont"/>
    <w:rsid w:val="001A66E4"/>
    <w:rPr>
      <w:sz w:val="16"/>
    </w:rPr>
  </w:style>
  <w:style w:type="paragraph" w:customStyle="1" w:styleId="WideTable">
    <w:name w:val="Wide Table"/>
    <w:basedOn w:val="Normal"/>
    <w:rsid w:val="001A66E4"/>
    <w:pPr>
      <w:ind w:left="-1418"/>
    </w:pPr>
    <w:rPr>
      <w:sz w:val="2"/>
      <w:szCs w:val="2"/>
    </w:rPr>
  </w:style>
  <w:style w:type="character" w:styleId="PageNumber">
    <w:name w:val="page number"/>
    <w:basedOn w:val="DefaultParagraphFont"/>
    <w:rsid w:val="001A66E4"/>
  </w:style>
  <w:style w:type="paragraph" w:styleId="Quote">
    <w:name w:val="Quote"/>
    <w:basedOn w:val="Heading1"/>
    <w:link w:val="QuoteChar"/>
    <w:qFormat/>
    <w:rsid w:val="001A66E4"/>
    <w:rPr>
      <w:b w:val="0"/>
      <w:sz w:val="72"/>
      <w:szCs w:val="72"/>
      <w:lang w:val="en-NZ"/>
    </w:rPr>
  </w:style>
  <w:style w:type="character" w:customStyle="1" w:styleId="QuoteChar">
    <w:name w:val="Quote Char"/>
    <w:basedOn w:val="DefaultParagraphFont"/>
    <w:link w:val="Quote"/>
    <w:rsid w:val="001A66E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66E4"/>
    <w:pPr>
      <w:pageBreakBefore/>
    </w:pPr>
  </w:style>
  <w:style w:type="paragraph" w:customStyle="1" w:styleId="Border">
    <w:name w:val="Border"/>
    <w:basedOn w:val="Normal"/>
    <w:qFormat/>
    <w:rsid w:val="001A66E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66E4"/>
    <w:rPr>
      <w:b/>
      <w:bCs/>
      <w:i/>
      <w:iCs/>
      <w:color w:val="auto"/>
    </w:rPr>
  </w:style>
  <w:style w:type="paragraph" w:styleId="IntenseQuote">
    <w:name w:val="Intense Quote"/>
    <w:basedOn w:val="Normal"/>
    <w:next w:val="Normal"/>
    <w:link w:val="IntenseQuoteChar"/>
    <w:uiPriority w:val="30"/>
    <w:qFormat/>
    <w:rsid w:val="001A66E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66E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66E4"/>
    <w:rPr>
      <w:smallCaps/>
      <w:color w:val="auto"/>
      <w:u w:val="single"/>
    </w:rPr>
  </w:style>
  <w:style w:type="character" w:styleId="IntenseReference">
    <w:name w:val="Intense Reference"/>
    <w:basedOn w:val="DefaultParagraphFont"/>
    <w:uiPriority w:val="32"/>
    <w:qFormat/>
    <w:rsid w:val="001A66E4"/>
    <w:rPr>
      <w:b/>
      <w:bCs/>
      <w:smallCaps/>
      <w:color w:val="auto"/>
      <w:spacing w:val="5"/>
      <w:u w:val="single"/>
    </w:rPr>
  </w:style>
  <w:style w:type="paragraph" w:customStyle="1" w:styleId="2ColumnHeading">
    <w:name w:val="2Column Heading"/>
    <w:basedOn w:val="BodyText"/>
    <w:qFormat/>
    <w:rsid w:val="001A66E4"/>
    <w:pPr>
      <w:spacing w:after="60"/>
      <w:ind w:left="-2268"/>
    </w:pPr>
    <w:rPr>
      <w:b/>
    </w:rPr>
  </w:style>
  <w:style w:type="paragraph" w:customStyle="1" w:styleId="Heading1TOC">
    <w:name w:val="Heading1 TOC"/>
    <w:basedOn w:val="Normal"/>
    <w:qFormat/>
    <w:rsid w:val="001A66E4"/>
    <w:pPr>
      <w:spacing w:before="240" w:after="120"/>
    </w:pPr>
    <w:rPr>
      <w:rFonts w:ascii="Times New Roman" w:hAnsi="Times New Roman"/>
      <w:b/>
      <w:sz w:val="32"/>
    </w:rPr>
  </w:style>
  <w:style w:type="paragraph" w:customStyle="1" w:styleId="Heading2TOC">
    <w:name w:val="Heading2 TOC"/>
    <w:basedOn w:val="Normal"/>
    <w:qFormat/>
    <w:rsid w:val="001A66E4"/>
    <w:pPr>
      <w:spacing w:before="240" w:after="60"/>
    </w:pPr>
    <w:rPr>
      <w:rFonts w:ascii="Times New Roman" w:hAnsi="Times New Roman"/>
      <w:b/>
      <w:sz w:val="28"/>
    </w:rPr>
  </w:style>
  <w:style w:type="character" w:customStyle="1" w:styleId="Underline">
    <w:name w:val="Underline"/>
    <w:basedOn w:val="DefaultParagraphFont"/>
    <w:qFormat/>
    <w:rsid w:val="001A66E4"/>
    <w:rPr>
      <w:u w:val="single"/>
    </w:rPr>
  </w:style>
  <w:style w:type="paragraph" w:styleId="BalloonText">
    <w:name w:val="Balloon Text"/>
    <w:basedOn w:val="Normal"/>
    <w:link w:val="BalloonTextChar"/>
    <w:rsid w:val="001A66E4"/>
    <w:rPr>
      <w:rFonts w:ascii="Tahoma" w:hAnsi="Tahoma" w:cs="Tahoma"/>
      <w:sz w:val="16"/>
      <w:szCs w:val="16"/>
    </w:rPr>
  </w:style>
  <w:style w:type="character" w:customStyle="1" w:styleId="BalloonTextChar">
    <w:name w:val="Balloon Text Char"/>
    <w:basedOn w:val="DefaultParagraphFont"/>
    <w:link w:val="BalloonText"/>
    <w:rsid w:val="001A66E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66E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A66E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66E4"/>
    <w:rPr>
      <w:b/>
      <w:color w:val="660033"/>
      <w:spacing w:val="0"/>
    </w:rPr>
  </w:style>
  <w:style w:type="paragraph" w:customStyle="1" w:styleId="Nameditemlist">
    <w:name w:val="Named item list"/>
    <w:basedOn w:val="BodyText"/>
    <w:qFormat/>
    <w:rsid w:val="001A66E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1972</Words>
  <Characters>12723</Characters>
  <Application>Microsoft Office Word</Application>
  <DocSecurity>0</DocSecurity>
  <Lines>369</Lines>
  <Paragraphs>191</Paragraphs>
  <ScaleCrop>false</ScaleCrop>
  <Company>Author-it Software Corporation Ltd.</Company>
  <LinksUpToDate>false</LinksUpToDate>
  <CharactersWithSpaces>14621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AHCASW305A Work with Aboriginal ceremonial secret sacred materials</dc:title>
  <dc:subject>Approved</dc:subject>
  <dc:creator>AgriFood Skills Australia</dc:creator>
  <cp:keywords>Release:</cp:keywords>
  <dc:description>Copyright © 1996-2007 Author-it Software Corporation Ltd., all rights reserved.</dc:description>
  <cp:lastModifiedBy>TPCMS</cp:lastModifiedBy>
  <cp:revision>3</cp:revision>
  <dcterms:created xsi:type="dcterms:W3CDTF">2013-02-28T23:23:00Z</dcterms:created>
  <dcterms:modified xsi:type="dcterms:W3CDTF">2013-02-28T23:23:00Z</dcterms:modified>
</cp:coreProperties>
</file>