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2EE" w:rsidP="008262EE">
      <w:pPr>
        <w:pStyle w:val="Title"/>
      </w:pPr>
      <w:r>
        <w:fldChar w:fldCharType="begin"/>
      </w:r>
      <w:r>
        <w:instrText xml:space="preserve"> TITLE   \* MERGEFORMAT </w:instrText>
      </w:r>
      <w:r>
        <w:fldChar w:fldCharType="separate"/>
      </w:r>
      <w:r>
        <w:t>AHCAGB606A Manage price risk through trading strategy</w:t>
      </w:r>
      <w:r>
        <w:fldChar w:fldCharType="end"/>
      </w:r>
    </w:p>
    <w:p w:rsidR="008262EE" w:rsidP="008262EE">
      <w:pPr>
        <w:pStyle w:val="Version"/>
        <w:sectPr w:rsidSect="005D2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15B" w:rsidP="005D215B">
      <w:pPr>
        <w:pStyle w:val="SuperHeading"/>
      </w:pPr>
      <w:r w:rsidRPr="005D215B">
        <w:t>AHCAGB606A Manage price risk through trading strategy</w:t>
      </w:r>
    </w:p>
    <w:p w:rsidR="00000000" w:rsidRPr="005D215B" w:rsidP="005D215B">
      <w:pPr>
        <w:pStyle w:val="Heading1"/>
      </w:pPr>
      <w:bookmarkStart w:id="1" w:name="O_267627"/>
      <w:bookmarkEnd w:id="1"/>
      <w:r w:rsidRPr="005D215B">
        <w:t>Modification History</w:t>
      </w:r>
    </w:p>
    <w:p w:rsidR="00000000" w:rsidRPr="005D215B" w:rsidP="005D215B">
      <w:pPr>
        <w:pStyle w:val="BodyText"/>
      </w:pPr>
      <w:r w:rsidRPr="005D215B">
        <w:t>Not Applicable</w:t>
      </w:r>
    </w:p>
    <w:p w:rsidR="00000000" w:rsidRPr="005D215B" w:rsidP="005D215B">
      <w:pPr>
        <w:pStyle w:val="AllowPageBreak"/>
      </w:pPr>
    </w:p>
    <w:p w:rsidR="00000000" w:rsidRPr="005D215B" w:rsidP="005D215B">
      <w:pPr>
        <w:pStyle w:val="Heading1"/>
      </w:pPr>
      <w:bookmarkStart w:id="2" w:name="O_186532"/>
      <w:bookmarkEnd w:id="2"/>
      <w:r w:rsidRPr="005D215B">
        <w:t>Unit Descriptor</w:t>
      </w:r>
    </w:p>
    <w:tbl>
      <w:tblPr>
        <w:tblW w:w="0" w:type="auto"/>
        <w:tblLayout w:type="fixed"/>
        <w:tblCellMar>
          <w:left w:w="62" w:type="dxa"/>
          <w:right w:w="62" w:type="dxa"/>
        </w:tblCellMar>
        <w:tblLook w:val="0000"/>
      </w:tblPr>
      <w:tblGrid>
        <w:gridCol w:w="2668"/>
        <w:gridCol w:w="5854"/>
      </w:tblGrid>
      <w:tr w:rsidTr="008262E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This unit covers the process of managing price risk through trading strategy and defines the stand</w:t>
            </w:r>
            <w:r w:rsidRPr="005D215B">
              <w:t>ard required to:  determine cost of production;  assess risk to financial returns through market or currency movements;  analyse trends and evaluate forecasts;  monitor and assess price movements;  implement a trading strategy for price risk management.</w:t>
            </w:r>
          </w:p>
        </w:tc>
      </w:tr>
    </w:tbl>
    <w:p w:rsidR="008262EE" w:rsidP="005D215B">
      <w:pPr>
        <w:pStyle w:val="BodyText"/>
      </w:pPr>
    </w:p>
    <w:p w:rsidR="008262EE" w:rsidP="005D215B">
      <w:pPr>
        <w:pStyle w:val="BodyText"/>
      </w:pPr>
    </w:p>
    <w:p w:rsidR="00000000" w:rsidRPr="005D215B" w:rsidP="005D215B">
      <w:pPr>
        <w:pStyle w:val="Heading1"/>
      </w:pPr>
      <w:bookmarkStart w:id="3" w:name="O_186536"/>
      <w:bookmarkEnd w:id="3"/>
      <w:r w:rsidRPr="005D215B">
        <w:t>Application of the Unit</w:t>
      </w:r>
    </w:p>
    <w:tbl>
      <w:tblPr>
        <w:tblW w:w="0" w:type="auto"/>
        <w:tblLayout w:type="fixed"/>
        <w:tblCellMar>
          <w:left w:w="62" w:type="dxa"/>
          <w:right w:w="62" w:type="dxa"/>
        </w:tblCellMar>
        <w:tblLook w:val="0000"/>
      </w:tblPr>
      <w:tblGrid>
        <w:gridCol w:w="2755"/>
        <w:gridCol w:w="5767"/>
      </w:tblGrid>
      <w:tr w:rsidTr="008262E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This unit applies to the ability to determine cost of production, assess risk, analyse trends and evaluate forecasts, and monitor and assess price movements.</w:t>
            </w:r>
          </w:p>
        </w:tc>
      </w:tr>
    </w:tbl>
    <w:p w:rsidR="008262EE" w:rsidP="005D215B">
      <w:pPr>
        <w:pStyle w:val="BodyText"/>
      </w:pPr>
    </w:p>
    <w:p w:rsidR="008262EE" w:rsidP="005D215B">
      <w:pPr>
        <w:pStyle w:val="BodyText"/>
      </w:pPr>
    </w:p>
    <w:p w:rsidR="00000000" w:rsidRPr="005D215B" w:rsidP="005D215B">
      <w:pPr>
        <w:pStyle w:val="Heading1"/>
      </w:pPr>
      <w:bookmarkStart w:id="4" w:name="O_275887"/>
      <w:bookmarkEnd w:id="4"/>
      <w:r w:rsidRPr="005D215B">
        <w:t>Licensing/Re</w:t>
      </w:r>
      <w:r w:rsidRPr="005D215B">
        <w:t>gulatory Information</w:t>
      </w:r>
    </w:p>
    <w:p w:rsidR="00000000" w:rsidRPr="005D215B" w:rsidP="005D215B">
      <w:pPr>
        <w:pStyle w:val="BodyText"/>
      </w:pPr>
      <w:r w:rsidRPr="005D215B">
        <w:t>Not Applicable</w:t>
      </w:r>
    </w:p>
    <w:p w:rsidR="00000000" w:rsidRPr="005D215B" w:rsidP="005D215B">
      <w:pPr>
        <w:pStyle w:val="AllowPageBreak"/>
      </w:pPr>
    </w:p>
    <w:p w:rsidR="00000000" w:rsidRPr="005D215B" w:rsidP="005D215B">
      <w:pPr>
        <w:pStyle w:val="Heading1"/>
      </w:pPr>
      <w:bookmarkStart w:id="5" w:name="O_186534"/>
      <w:bookmarkEnd w:id="5"/>
      <w:r w:rsidRPr="005D215B">
        <w:t>Pre-Requisites</w:t>
      </w:r>
    </w:p>
    <w:tbl>
      <w:tblPr>
        <w:tblW w:w="0" w:type="auto"/>
        <w:tblLayout w:type="fixed"/>
        <w:tblCellMar>
          <w:left w:w="62" w:type="dxa"/>
          <w:right w:w="62" w:type="dxa"/>
        </w:tblCellMar>
        <w:tblLook w:val="0000"/>
      </w:tblPr>
      <w:tblGrid>
        <w:gridCol w:w="2775"/>
        <w:gridCol w:w="1295"/>
        <w:gridCol w:w="4452"/>
      </w:tblGrid>
      <w:tr w:rsidTr="008262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p>
        </w:tc>
      </w:tr>
      <w:tr w:rsidTr="008262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p>
        </w:tc>
      </w:tr>
      <w:tr w:rsidTr="008262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p>
        </w:tc>
      </w:tr>
    </w:tbl>
    <w:p w:rsidR="008262EE" w:rsidP="005D215B">
      <w:pPr>
        <w:pStyle w:val="BodyText"/>
      </w:pPr>
    </w:p>
    <w:p w:rsidR="008262EE" w:rsidP="005D215B">
      <w:pPr>
        <w:pStyle w:val="BodyText"/>
      </w:pPr>
    </w:p>
    <w:p w:rsidR="00000000" w:rsidRPr="005D215B" w:rsidP="005D215B">
      <w:pPr>
        <w:pStyle w:val="Heading1"/>
      </w:pPr>
      <w:bookmarkStart w:id="6" w:name="O_186533"/>
      <w:bookmarkEnd w:id="6"/>
      <w:r w:rsidRPr="005D215B">
        <w:t>Employability Skills Information</w:t>
      </w:r>
    </w:p>
    <w:tbl>
      <w:tblPr>
        <w:tblW w:w="0" w:type="auto"/>
        <w:tblLayout w:type="fixed"/>
        <w:tblCellMar>
          <w:left w:w="62" w:type="dxa"/>
          <w:right w:w="62" w:type="dxa"/>
        </w:tblCellMar>
        <w:tblLook w:val="0000"/>
      </w:tblPr>
      <w:tblGrid>
        <w:gridCol w:w="2802"/>
        <w:gridCol w:w="5720"/>
      </w:tblGrid>
      <w:tr w:rsidTr="008262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This unit contains employability skills.</w:t>
            </w:r>
          </w:p>
        </w:tc>
      </w:tr>
    </w:tbl>
    <w:p w:rsidR="008262EE" w:rsidP="005D215B">
      <w:pPr>
        <w:pStyle w:val="BodyText"/>
      </w:pPr>
    </w:p>
    <w:p w:rsidR="008262EE" w:rsidP="005D215B">
      <w:pPr>
        <w:pStyle w:val="BodyText"/>
      </w:pPr>
    </w:p>
    <w:p w:rsidR="00000000" w:rsidRPr="005D215B" w:rsidP="005D215B">
      <w:pPr>
        <w:pStyle w:val="Heading1"/>
      </w:pPr>
      <w:bookmarkStart w:id="7" w:name="O_285673"/>
      <w:bookmarkEnd w:id="7"/>
      <w:r w:rsidRPr="005D215B">
        <w:t>Elements and Performance Criteria Pre-Content</w:t>
      </w:r>
    </w:p>
    <w:p w:rsidR="00000000" w:rsidRPr="005D215B" w:rsidP="005D215B">
      <w:pPr>
        <w:pStyle w:val="BodyText"/>
      </w:pPr>
      <w:r w:rsidRPr="005D215B">
        <w:t>Not Applicable</w:t>
      </w:r>
    </w:p>
    <w:p w:rsidR="00000000" w:rsidRPr="005D215B" w:rsidP="005D215B">
      <w:pPr>
        <w:pStyle w:val="AllowPageBreak"/>
      </w:pPr>
    </w:p>
    <w:p w:rsidR="00000000" w:rsidRPr="005D215B" w:rsidP="005D215B">
      <w:pPr>
        <w:pStyle w:val="Heading1"/>
      </w:pPr>
      <w:bookmarkStart w:id="8" w:name="O_232340"/>
      <w:bookmarkEnd w:id="8"/>
      <w:r w:rsidRPr="005D215B">
        <w:t>Elements and Performance Criteria</w:t>
      </w:r>
    </w:p>
    <w:tbl>
      <w:tblPr>
        <w:tblW w:w="0" w:type="auto"/>
        <w:tblLayout w:type="fixed"/>
        <w:tblCellMar>
          <w:left w:w="62" w:type="dxa"/>
          <w:right w:w="62" w:type="dxa"/>
        </w:tblCellMar>
        <w:tblLook w:val="0000"/>
      </w:tblPr>
      <w:tblGrid>
        <w:gridCol w:w="2573"/>
        <w:gridCol w:w="5949"/>
      </w:tblGrid>
      <w:tr w:rsidTr="008262E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PERFORMANCE CRITERIA</w:t>
            </w:r>
          </w:p>
        </w:tc>
      </w:tr>
      <w:tr w:rsidTr="008262E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p>
        </w:tc>
      </w:tr>
      <w:tr w:rsidTr="008262E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List"/>
              <w:rPr>
                <w:lang w:val="en-NZ"/>
              </w:rPr>
            </w:pPr>
            <w:r w:rsidRPr="005D215B">
              <w:t>1.</w:t>
            </w:r>
            <w:r w:rsidRPr="005D215B">
              <w:tab/>
              <w:t>Conduct market research</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2"/>
            </w:pPr>
            <w:r w:rsidRPr="005D215B">
              <w:t>1.1.</w:t>
            </w:r>
            <w:r w:rsidRPr="005D215B">
              <w:tab/>
              <w:t>Estimates of supply and demand are collated and evaluated.</w:t>
            </w:r>
          </w:p>
          <w:p w:rsidR="00000000" w:rsidRPr="005D215B" w:rsidP="005D215B">
            <w:pPr>
              <w:pStyle w:val="List2"/>
            </w:pPr>
            <w:r w:rsidRPr="005D215B">
              <w:t>1.2.</w:t>
            </w:r>
            <w:r w:rsidRPr="005D215B">
              <w:tab/>
            </w:r>
            <w:r w:rsidRPr="005D215B">
              <w:t>Past trends are analysed and possible future scenarios assessed.</w:t>
            </w:r>
          </w:p>
          <w:p w:rsidR="00000000" w:rsidP="005D215B">
            <w:pPr>
              <w:pStyle w:val="List2"/>
              <w:rPr>
                <w:lang w:val="en-NZ"/>
              </w:rPr>
            </w:pPr>
            <w:r w:rsidRPr="005D215B">
              <w:t>1.3.</w:t>
            </w:r>
            <w:r w:rsidRPr="005D215B">
              <w:tab/>
              <w:t>Own products are related to market indicators.</w:t>
            </w:r>
          </w:p>
        </w:tc>
      </w:tr>
      <w:tr w:rsidTr="008262E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List"/>
              <w:rPr>
                <w:lang w:val="en-NZ"/>
              </w:rPr>
            </w:pPr>
            <w:r w:rsidRPr="005D215B">
              <w:t>2.</w:t>
            </w:r>
            <w:r w:rsidRPr="005D215B">
              <w:tab/>
              <w:t>Determine price required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2"/>
            </w:pPr>
            <w:r w:rsidRPr="005D215B">
              <w:t>2.1.</w:t>
            </w:r>
            <w:r w:rsidRPr="005D215B">
              <w:tab/>
              <w:t>Cost of production is calculated and break-even price is determined.</w:t>
            </w:r>
          </w:p>
          <w:p w:rsidR="00000000" w:rsidRPr="005D215B" w:rsidP="005D215B">
            <w:pPr>
              <w:pStyle w:val="List2"/>
            </w:pPr>
            <w:r w:rsidRPr="005D215B">
              <w:t>2.2.</w:t>
            </w:r>
            <w:r w:rsidRPr="005D215B">
              <w:tab/>
              <w:t>Margins for profit and risk are</w:t>
            </w:r>
            <w:r w:rsidRPr="005D215B">
              <w:t xml:space="preserve"> determined.</w:t>
            </w:r>
          </w:p>
          <w:p w:rsidR="00000000" w:rsidRPr="005D215B" w:rsidP="005D215B">
            <w:pPr>
              <w:pStyle w:val="List2"/>
            </w:pPr>
            <w:r w:rsidRPr="005D215B">
              <w:t>2.3.</w:t>
            </w:r>
            <w:r w:rsidRPr="005D215B">
              <w:tab/>
              <w:t>Forward price objectives are set to meet cost of production plus profit required.</w:t>
            </w:r>
          </w:p>
          <w:p w:rsidR="00000000" w:rsidP="005D215B">
            <w:pPr>
              <w:pStyle w:val="List2"/>
              <w:rPr>
                <w:lang w:val="en-NZ"/>
              </w:rPr>
            </w:pPr>
            <w:r w:rsidRPr="005D215B">
              <w:t>2.4.</w:t>
            </w:r>
            <w:r w:rsidRPr="005D215B">
              <w:tab/>
              <w:t>Personal attitude to risk is evaluated.</w:t>
            </w:r>
          </w:p>
        </w:tc>
      </w:tr>
      <w:tr w:rsidTr="008262E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List"/>
              <w:rPr>
                <w:lang w:val="en-NZ"/>
              </w:rPr>
            </w:pPr>
            <w:r w:rsidRPr="005D215B">
              <w:t>3.</w:t>
            </w:r>
            <w:r w:rsidRPr="005D215B">
              <w:tab/>
              <w:t>Develop sales plan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2"/>
            </w:pPr>
            <w:r w:rsidRPr="005D215B">
              <w:t>3.1.</w:t>
            </w:r>
            <w:r w:rsidRPr="005D215B">
              <w:tab/>
              <w:t>Cash markets are evaluated and projected price trends assessed.</w:t>
            </w:r>
          </w:p>
          <w:p w:rsidR="00000000" w:rsidRPr="005D215B" w:rsidP="005D215B">
            <w:pPr>
              <w:pStyle w:val="List2"/>
            </w:pPr>
            <w:r w:rsidRPr="005D215B">
              <w:t>3.2.</w:t>
            </w:r>
            <w:r w:rsidRPr="005D215B">
              <w:tab/>
              <w:t>Forward contra</w:t>
            </w:r>
            <w:r w:rsidRPr="005D215B">
              <w:t>ct information is obtained and assessed.</w:t>
            </w:r>
          </w:p>
          <w:p w:rsidR="00000000" w:rsidRPr="005D215B" w:rsidP="005D215B">
            <w:pPr>
              <w:pStyle w:val="List2"/>
            </w:pPr>
            <w:r w:rsidRPr="005D215B">
              <w:t>3.3.</w:t>
            </w:r>
            <w:r w:rsidRPr="005D215B">
              <w:tab/>
              <w:t>Futures prices are obtained and assessed.</w:t>
            </w:r>
          </w:p>
          <w:p w:rsidR="00000000" w:rsidRPr="005D215B" w:rsidP="005D215B">
            <w:pPr>
              <w:pStyle w:val="List2"/>
            </w:pPr>
            <w:r w:rsidRPr="005D215B">
              <w:t>3.4.</w:t>
            </w:r>
            <w:r w:rsidRPr="005D215B">
              <w:tab/>
              <w:t>Options are evaluated against price objectives and the assessment of price movement risk.</w:t>
            </w:r>
          </w:p>
          <w:p w:rsidR="00000000" w:rsidRPr="005D215B" w:rsidP="005D215B">
            <w:pPr>
              <w:pStyle w:val="List2"/>
            </w:pPr>
            <w:r w:rsidRPr="005D215B">
              <w:t>3.5.</w:t>
            </w:r>
            <w:r w:rsidRPr="005D215B">
              <w:tab/>
              <w:t>Taxation and cash flow implications are assessed.</w:t>
            </w:r>
          </w:p>
          <w:p w:rsidR="00000000" w:rsidRPr="005D215B" w:rsidP="005D215B">
            <w:pPr>
              <w:pStyle w:val="List2"/>
            </w:pPr>
            <w:r w:rsidRPr="005D215B">
              <w:t>3.6.</w:t>
            </w:r>
            <w:r w:rsidRPr="005D215B">
              <w:tab/>
            </w:r>
            <w:r w:rsidRPr="005D215B">
              <w:t>Appropriate mix of sale options is developed in a trading strategy.</w:t>
            </w:r>
          </w:p>
          <w:p w:rsidR="00000000" w:rsidP="005D215B">
            <w:pPr>
              <w:pStyle w:val="List2"/>
              <w:rPr>
                <w:lang w:val="en-NZ"/>
              </w:rPr>
            </w:pPr>
            <w:r w:rsidRPr="005D215B">
              <w:t>3.7.</w:t>
            </w:r>
            <w:r w:rsidRPr="005D215B">
              <w:tab/>
              <w:t>Contingency plans are developed to address possible shifts in price trend.</w:t>
            </w:r>
          </w:p>
        </w:tc>
      </w:tr>
      <w:tr w:rsidTr="008262E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List"/>
              <w:rPr>
                <w:lang w:val="en-NZ"/>
              </w:rPr>
            </w:pPr>
            <w:r w:rsidRPr="005D215B">
              <w:t>4.</w:t>
            </w:r>
            <w:r w:rsidRPr="005D215B">
              <w:tab/>
              <w:t>Implement trading strategy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2"/>
            </w:pPr>
            <w:r w:rsidRPr="005D215B">
              <w:t>4.1.</w:t>
            </w:r>
            <w:r w:rsidRPr="005D215B">
              <w:tab/>
              <w:t>Appropriate expertise is sought as required.</w:t>
            </w:r>
          </w:p>
          <w:p w:rsidR="00000000" w:rsidRPr="005D215B" w:rsidP="005D215B">
            <w:pPr>
              <w:pStyle w:val="List2"/>
            </w:pPr>
            <w:r w:rsidRPr="005D215B">
              <w:t>4.2.</w:t>
            </w:r>
            <w:r w:rsidRPr="005D215B">
              <w:tab/>
              <w:t xml:space="preserve">Market information is </w:t>
            </w:r>
            <w:r w:rsidRPr="005D215B">
              <w:t>monitored and trading strategy adjusted according to contingency plans.</w:t>
            </w:r>
          </w:p>
        </w:tc>
      </w:tr>
    </w:tbl>
    <w:p w:rsidR="008262EE" w:rsidP="005D215B">
      <w:pPr>
        <w:pStyle w:val="BodyText"/>
      </w:pPr>
    </w:p>
    <w:p w:rsidR="008262EE" w:rsidP="005D215B">
      <w:pPr>
        <w:pStyle w:val="BodyText"/>
      </w:pPr>
    </w:p>
    <w:p w:rsidR="00000000" w:rsidRPr="005D215B" w:rsidP="005D215B">
      <w:pPr>
        <w:pStyle w:val="Heading1"/>
      </w:pPr>
      <w:bookmarkStart w:id="9" w:name="O_256290"/>
      <w:bookmarkEnd w:id="9"/>
      <w:r w:rsidRPr="005D215B">
        <w:t>Required Skills and Knowledge</w:t>
      </w:r>
    </w:p>
    <w:tbl>
      <w:tblPr>
        <w:tblW w:w="0" w:type="auto"/>
        <w:tblLayout w:type="fixed"/>
        <w:tblCellMar>
          <w:left w:w="62" w:type="dxa"/>
          <w:right w:w="62" w:type="dxa"/>
        </w:tblCellMar>
        <w:tblLook w:val="0000"/>
      </w:tblPr>
      <w:tblGrid>
        <w:gridCol w:w="8522"/>
      </w:tblGrid>
      <w:tr w:rsidTr="008262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REQUIRED SKILLS AND KNOWLEDGE</w:t>
            </w:r>
          </w:p>
        </w:tc>
      </w:tr>
      <w:tr w:rsidTr="008262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t>This section describes the skills and knowledge required for this unit.</w:t>
            </w:r>
          </w:p>
        </w:tc>
      </w:tr>
      <w:tr w:rsidTr="00826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Required skills</w:t>
            </w:r>
          </w:p>
        </w:tc>
      </w:tr>
      <w:tr w:rsidTr="00826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Bullet"/>
            </w:pPr>
            <w:r w:rsidRPr="005D215B">
              <w:t>determine cost of production</w:t>
            </w:r>
          </w:p>
          <w:p w:rsidR="00000000" w:rsidRPr="005D215B" w:rsidP="005D215B">
            <w:pPr>
              <w:pStyle w:val="ListBullet"/>
            </w:pPr>
            <w:r w:rsidRPr="005D215B">
              <w:t>assess risk</w:t>
            </w:r>
          </w:p>
          <w:p w:rsidR="00000000" w:rsidRPr="005D215B" w:rsidP="005D215B">
            <w:pPr>
              <w:pStyle w:val="ListBullet"/>
            </w:pPr>
            <w:r w:rsidRPr="005D215B">
              <w:t>analyse trends and evaluate forecasts</w:t>
            </w:r>
          </w:p>
          <w:p w:rsidR="00000000" w:rsidRPr="005D215B" w:rsidP="005D215B">
            <w:pPr>
              <w:pStyle w:val="ListBullet"/>
            </w:pPr>
            <w:r w:rsidRPr="005D215B">
              <w:t>monitor and assess price movements</w:t>
            </w:r>
          </w:p>
          <w:p w:rsidR="00000000" w:rsidRPr="005D215B" w:rsidP="005D215B">
            <w:pPr>
              <w:pStyle w:val="ListBullet"/>
            </w:pPr>
            <w:r w:rsidRPr="005D215B">
              <w:t>use literacy skills to fulfil job roles as required by the organisation.  The level of skill may range from reading and understanding documentation to completion of written reports</w:t>
            </w:r>
          </w:p>
          <w:p w:rsidR="00000000" w:rsidRPr="005D215B" w:rsidP="005D215B">
            <w:pPr>
              <w:pStyle w:val="ListBullet"/>
            </w:pPr>
            <w:r w:rsidRPr="005D215B">
              <w:t>use oral communication skills/language competence to fulfil the job role as</w:t>
            </w:r>
            <w:r w:rsidRPr="005D215B">
              <w:t xml:space="preserve"> specified by the organisation including questioning, active listening, asking for clarification, negotiating solutions and responding to a range of views</w:t>
            </w:r>
          </w:p>
          <w:p w:rsidR="00000000" w:rsidRPr="005D215B" w:rsidP="005D215B">
            <w:pPr>
              <w:pStyle w:val="ListBullet"/>
            </w:pPr>
            <w:r w:rsidRPr="005D215B">
              <w:t>use numeracy skills to estimate, calculate and record complex workplace measures</w:t>
            </w:r>
          </w:p>
          <w:p w:rsidR="00000000" w:rsidP="005D215B">
            <w:pPr>
              <w:pStyle w:val="ListBullet"/>
              <w:rPr>
                <w:lang w:val="en-NZ"/>
              </w:rPr>
            </w:pPr>
            <w:r w:rsidRPr="005D215B">
              <w:t>use interpersonal sk</w:t>
            </w:r>
            <w:r w:rsidRPr="005D215B">
              <w:t>ills to work with others and relate to people from a range of cultural, social and religious backgrounds and with a range of physical and mental abilities.</w:t>
            </w:r>
          </w:p>
        </w:tc>
      </w:tr>
      <w:tr w:rsidTr="00826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Required knowledge</w:t>
            </w:r>
          </w:p>
        </w:tc>
      </w:tr>
      <w:tr w:rsidTr="00826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Bullet"/>
            </w:pPr>
            <w:r w:rsidRPr="005D215B">
              <w:t>supply, demand and price relationships</w:t>
            </w:r>
          </w:p>
          <w:p w:rsidR="00000000" w:rsidRPr="005D215B" w:rsidP="005D215B">
            <w:pPr>
              <w:pStyle w:val="ListBullet"/>
            </w:pPr>
            <w:r w:rsidRPr="005D215B">
              <w:t>price trends and sources of market info</w:t>
            </w:r>
            <w:r w:rsidRPr="005D215B">
              <w:t>rmation/forecasts</w:t>
            </w:r>
          </w:p>
          <w:p w:rsidR="00000000" w:rsidRPr="005D215B" w:rsidP="005D215B">
            <w:pPr>
              <w:pStyle w:val="ListBullet"/>
            </w:pPr>
            <w:r w:rsidRPr="005D215B">
              <w:t>cost of production</w:t>
            </w:r>
          </w:p>
          <w:p w:rsidR="00000000" w:rsidRPr="005D215B" w:rsidP="005D215B">
            <w:pPr>
              <w:pStyle w:val="ListBullet"/>
            </w:pPr>
            <w:r w:rsidRPr="005D215B">
              <w:t>risk assessment and attitudes to risk</w:t>
            </w:r>
          </w:p>
          <w:p w:rsidR="00000000" w:rsidRPr="005D215B" w:rsidP="005D215B">
            <w:pPr>
              <w:pStyle w:val="ListBullet"/>
            </w:pPr>
            <w:r w:rsidRPr="005D215B">
              <w:t>selling options for the relevant commodity</w:t>
            </w:r>
          </w:p>
          <w:p w:rsidR="00000000" w:rsidRPr="005D215B" w:rsidP="005D215B">
            <w:pPr>
              <w:pStyle w:val="ListBullet"/>
            </w:pPr>
            <w:r w:rsidRPr="005D215B">
              <w:t>operation of futures markets, forward selling arrangements, put options</w:t>
            </w:r>
          </w:p>
          <w:p w:rsidR="00000000" w:rsidRPr="005D215B" w:rsidP="005D215B">
            <w:pPr>
              <w:pStyle w:val="ListBullet"/>
            </w:pPr>
            <w:r w:rsidRPr="005D215B">
              <w:t>foreign exchange rates</w:t>
            </w:r>
          </w:p>
          <w:p w:rsidR="00000000" w:rsidRPr="005D215B" w:rsidP="005D215B">
            <w:pPr>
              <w:pStyle w:val="ListBullet"/>
            </w:pPr>
            <w:r w:rsidRPr="005D215B">
              <w:t>contract law</w:t>
            </w:r>
          </w:p>
          <w:p w:rsidR="00000000" w:rsidRPr="005D215B" w:rsidP="005D215B">
            <w:pPr>
              <w:pStyle w:val="ListBullet"/>
            </w:pPr>
            <w:r w:rsidRPr="005D215B">
              <w:t>cash flow and taxation planning</w:t>
            </w:r>
          </w:p>
          <w:p w:rsidR="00000000" w:rsidRPr="005D215B" w:rsidP="005D215B">
            <w:pPr>
              <w:pStyle w:val="ListBullet"/>
            </w:pPr>
            <w:r w:rsidRPr="005D215B">
              <w:t>contingency planning.</w:t>
            </w:r>
          </w:p>
        </w:tc>
      </w:tr>
    </w:tbl>
    <w:p w:rsidR="008262EE" w:rsidP="005D215B">
      <w:pPr>
        <w:pStyle w:val="BodyText"/>
      </w:pPr>
    </w:p>
    <w:p w:rsidR="008262EE" w:rsidP="005D215B">
      <w:pPr>
        <w:pStyle w:val="BodyText"/>
      </w:pPr>
    </w:p>
    <w:p w:rsidR="00000000" w:rsidRPr="005D215B" w:rsidP="005D215B">
      <w:pPr>
        <w:pStyle w:val="AllowPageBreak"/>
      </w:pPr>
    </w:p>
    <w:p w:rsidR="00000000" w:rsidRPr="005D215B" w:rsidP="005D215B">
      <w:pPr>
        <w:pStyle w:val="Heading1"/>
      </w:pPr>
      <w:bookmarkStart w:id="10" w:name="O_240324"/>
      <w:bookmarkEnd w:id="10"/>
      <w:r w:rsidRPr="005D215B">
        <w:t>Evidence Guide</w:t>
      </w:r>
    </w:p>
    <w:tbl>
      <w:tblPr>
        <w:tblW w:w="9570" w:type="dxa"/>
        <w:tblLayout w:type="fixed"/>
        <w:tblCellMar>
          <w:left w:w="62" w:type="dxa"/>
          <w:right w:w="62" w:type="dxa"/>
        </w:tblCellMar>
        <w:tblLook w:val="0000"/>
      </w:tblPr>
      <w:tblGrid>
        <w:gridCol w:w="3908"/>
        <w:gridCol w:w="5662"/>
      </w:tblGrid>
      <w:tr w:rsidTr="008262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EVIDENCE GUIDE</w:t>
            </w:r>
          </w:p>
        </w:tc>
      </w:tr>
      <w:tr w:rsidTr="008262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t>The evidence guide provides advice on assessment and must be read in conjuncti</w:t>
            </w:r>
            <w:r w:rsidRPr="005D215B">
              <w:t>on with the performance criteria, required skills and knowledge, range statement and the Assessment Guidelines for the Training Package.</w:t>
            </w:r>
          </w:p>
        </w:tc>
      </w:tr>
      <w:tr w:rsidTr="00826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p>
        </w:tc>
      </w:tr>
      <w:tr w:rsidTr="00826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D215B" w:rsidP="005D215B">
            <w:pPr>
              <w:pStyle w:val="ListBullet"/>
            </w:pPr>
            <w:r w:rsidRPr="005D215B">
              <w:t>determine cost of production</w:t>
            </w:r>
          </w:p>
          <w:p w:rsidR="00000000" w:rsidRPr="005D215B" w:rsidP="005D215B">
            <w:pPr>
              <w:pStyle w:val="ListBullet"/>
            </w:pPr>
            <w:r w:rsidRPr="005D215B">
              <w:t>assess risk to financial returns through market or currency movements</w:t>
            </w:r>
          </w:p>
          <w:p w:rsidR="00000000" w:rsidRPr="005D215B" w:rsidP="005D215B">
            <w:pPr>
              <w:pStyle w:val="ListBullet"/>
            </w:pPr>
            <w:r w:rsidRPr="005D215B">
              <w:t>analyse trends and evaluate forecasts</w:t>
            </w:r>
          </w:p>
          <w:p w:rsidR="00000000" w:rsidRPr="005D215B" w:rsidP="005D215B">
            <w:pPr>
              <w:pStyle w:val="ListBullet"/>
            </w:pPr>
            <w:r w:rsidRPr="005D215B">
              <w:t>monitor and assess price movements</w:t>
            </w:r>
          </w:p>
          <w:p w:rsidR="00000000" w:rsidP="005D215B">
            <w:pPr>
              <w:pStyle w:val="ListBullet"/>
              <w:rPr>
                <w:lang w:val="en-NZ"/>
              </w:rPr>
            </w:pPr>
            <w:r w:rsidRPr="005D215B">
              <w:t>implement a trading strategy for price risk management.</w:t>
            </w:r>
          </w:p>
        </w:tc>
      </w:tr>
      <w:tr w:rsidTr="00826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Competency requires the application of work practices under work conditions.  Selection and use of resources for some worksites may differ due to the regional or enterprise circumstances.</w:t>
            </w:r>
          </w:p>
        </w:tc>
      </w:tr>
    </w:tbl>
    <w:p w:rsidR="008262EE" w:rsidP="005D215B">
      <w:pPr>
        <w:pStyle w:val="BodyText"/>
      </w:pPr>
    </w:p>
    <w:p w:rsidR="008262EE" w:rsidP="005D215B">
      <w:pPr>
        <w:pStyle w:val="BodyText"/>
      </w:pPr>
    </w:p>
    <w:p w:rsidR="00000000" w:rsidRPr="005D215B" w:rsidP="005D215B">
      <w:pPr>
        <w:pStyle w:val="Heading1"/>
      </w:pPr>
      <w:bookmarkStart w:id="11" w:name="O_248307"/>
      <w:bookmarkEnd w:id="11"/>
      <w:r w:rsidRPr="005D215B">
        <w:t>Range Statement</w:t>
      </w:r>
    </w:p>
    <w:tbl>
      <w:tblPr>
        <w:tblW w:w="0" w:type="auto"/>
        <w:tblLayout w:type="fixed"/>
        <w:tblCellMar>
          <w:left w:w="62" w:type="dxa"/>
          <w:right w:w="62" w:type="dxa"/>
        </w:tblCellMar>
        <w:tblLook w:val="0000"/>
      </w:tblPr>
      <w:tblGrid>
        <w:gridCol w:w="3485"/>
        <w:gridCol w:w="5037"/>
      </w:tblGrid>
      <w:tr w:rsidTr="008262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RANGE STATEMENT</w:t>
            </w:r>
          </w:p>
        </w:tc>
      </w:tr>
      <w:tr w:rsidTr="008262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t>The range statement relates to the unit of competency as a whole.</w:t>
            </w:r>
          </w:p>
        </w:tc>
      </w:tr>
      <w:tr w:rsidTr="008262E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t>Cash markets may relate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ListBullet"/>
            </w:pPr>
            <w:r w:rsidRPr="005D215B">
              <w:t>markets that do not involve any hedging or forward selling.</w:t>
            </w:r>
          </w:p>
        </w:tc>
      </w:tr>
    </w:tbl>
    <w:p w:rsidR="008262EE" w:rsidP="005D215B">
      <w:pPr>
        <w:pStyle w:val="BodyText"/>
      </w:pPr>
    </w:p>
    <w:p w:rsidR="008262EE" w:rsidP="005D215B">
      <w:pPr>
        <w:pStyle w:val="BodyText"/>
      </w:pPr>
    </w:p>
    <w:p w:rsidR="00000000" w:rsidRPr="005D215B" w:rsidP="005D215B">
      <w:pPr>
        <w:pStyle w:val="Heading1"/>
      </w:pPr>
      <w:bookmarkStart w:id="12" w:name="O_186538"/>
      <w:bookmarkEnd w:id="12"/>
      <w:r w:rsidRPr="005D215B">
        <w:t>Unit Sector(s)</w:t>
      </w:r>
    </w:p>
    <w:tbl>
      <w:tblPr>
        <w:tblW w:w="0" w:type="auto"/>
        <w:tblLayout w:type="fixed"/>
        <w:tblCellMar>
          <w:left w:w="62" w:type="dxa"/>
          <w:right w:w="62" w:type="dxa"/>
        </w:tblCellMar>
        <w:tblLook w:val="0000"/>
      </w:tblPr>
      <w:tblGrid>
        <w:gridCol w:w="2601"/>
        <w:gridCol w:w="5921"/>
      </w:tblGrid>
      <w:tr w:rsidTr="008262E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r w:rsidRPr="005D215B">
              <w:t>Agribusiness</w:t>
            </w:r>
          </w:p>
        </w:tc>
      </w:tr>
    </w:tbl>
    <w:p w:rsidR="008262EE" w:rsidP="005D215B">
      <w:pPr>
        <w:pStyle w:val="BodyText"/>
      </w:pPr>
    </w:p>
    <w:p w:rsidR="008262EE" w:rsidP="005D215B">
      <w:pPr>
        <w:pStyle w:val="BodyText"/>
      </w:pPr>
    </w:p>
    <w:p w:rsidR="00000000" w:rsidRPr="005D215B" w:rsidP="005D215B">
      <w:pPr>
        <w:pStyle w:val="Heading1"/>
      </w:pPr>
      <w:bookmarkStart w:id="13" w:name="O_186535"/>
      <w:bookmarkEnd w:id="13"/>
      <w:r w:rsidRPr="005D215B">
        <w:t>Co-requisite units</w:t>
      </w:r>
    </w:p>
    <w:tbl>
      <w:tblPr>
        <w:tblW w:w="0" w:type="auto"/>
        <w:tblLayout w:type="fixed"/>
        <w:tblCellMar>
          <w:left w:w="62" w:type="dxa"/>
          <w:right w:w="62" w:type="dxa"/>
        </w:tblCellMar>
        <w:tblLook w:val="0000"/>
      </w:tblPr>
      <w:tblGrid>
        <w:gridCol w:w="2641"/>
        <w:gridCol w:w="1322"/>
        <w:gridCol w:w="4559"/>
      </w:tblGrid>
      <w:tr w:rsidTr="008262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62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p>
        </w:tc>
      </w:tr>
      <w:tr w:rsidTr="008262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p>
        </w:tc>
      </w:tr>
    </w:tbl>
    <w:p w:rsidR="008262EE" w:rsidP="005D215B">
      <w:pPr>
        <w:pStyle w:val="BodyText"/>
      </w:pPr>
    </w:p>
    <w:p w:rsidR="008262EE" w:rsidP="005D215B">
      <w:pPr>
        <w:pStyle w:val="BodyText"/>
      </w:pPr>
    </w:p>
    <w:p w:rsidR="00000000" w:rsidRPr="005D215B" w:rsidP="005D215B">
      <w:pPr>
        <w:pStyle w:val="Heading1"/>
      </w:pPr>
      <w:bookmarkStart w:id="14" w:name="O_186537"/>
      <w:bookmarkEnd w:id="14"/>
      <w:r w:rsidRPr="005D215B">
        <w:t>Competency field</w:t>
      </w:r>
    </w:p>
    <w:tbl>
      <w:tblPr>
        <w:tblW w:w="0" w:type="auto"/>
        <w:tblLayout w:type="fixed"/>
        <w:tblCellMar>
          <w:left w:w="62" w:type="dxa"/>
          <w:right w:w="62" w:type="dxa"/>
        </w:tblCellMar>
        <w:tblLook w:val="0000"/>
      </w:tblPr>
      <w:tblGrid>
        <w:gridCol w:w="2784"/>
        <w:gridCol w:w="5738"/>
      </w:tblGrid>
      <w:tr w:rsidTr="008262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5B">
            <w:pPr>
              <w:pStyle w:val="BodyText"/>
              <w:rPr>
                <w:lang w:val="en-NZ"/>
              </w:rPr>
            </w:pPr>
            <w:r w:rsidRPr="005D21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5B" w:rsidP="005D215B">
            <w:pPr>
              <w:pStyle w:val="BodyText"/>
            </w:pPr>
          </w:p>
        </w:tc>
      </w:tr>
    </w:tbl>
    <w:p w:rsidR="008262EE" w:rsidP="005D215B">
      <w:pPr>
        <w:pStyle w:val="BodyText"/>
      </w:pPr>
    </w:p>
    <w:p w:rsidR="008262EE" w:rsidP="005D215B">
      <w:pPr>
        <w:pStyle w:val="BodyText"/>
      </w:pPr>
    </w:p>
    <w:p w:rsidR="00000000" w:rsidRPr="005D215B" w:rsidP="005D215B"/>
    <w:sectPr w:rsidSect="005D2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2EE" w:rsidP="00826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EE" w:rsidP="005D2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62EE" w:rsidP="005D2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62EE" w:rsidP="005D2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2EE" w:rsidP="008262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EE" w:rsidP="005D215B">
    <w:pPr>
      <w:pStyle w:val="Header"/>
      <w:framePr w:wrap="around"/>
    </w:pPr>
    <w:r>
      <w:fldChar w:fldCharType="begin"/>
    </w:r>
    <w:r>
      <w:instrText xml:space="preserve"> TITLE   \* MERGEFORMAT </w:instrText>
    </w:r>
    <w:r>
      <w:fldChar w:fldCharType="separate"/>
    </w:r>
    <w:r>
      <w:t>AHCAGB606A Manage price risk through trading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62EE" w:rsidP="005D2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C6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8CC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215B"/>
    <w:pPr>
      <w:spacing w:before="360" w:after="60"/>
      <w:outlineLvl w:val="0"/>
    </w:pPr>
    <w:rPr>
      <w:sz w:val="32"/>
    </w:rPr>
  </w:style>
  <w:style w:type="paragraph" w:styleId="Heading2">
    <w:name w:val="heading 2"/>
    <w:basedOn w:val="HeadingBase"/>
    <w:next w:val="BodyText"/>
    <w:link w:val="Heading2Char"/>
    <w:qFormat/>
    <w:rsid w:val="005D215B"/>
    <w:pPr>
      <w:keepLines/>
      <w:spacing w:before="240" w:after="120"/>
      <w:outlineLvl w:val="1"/>
    </w:pPr>
    <w:rPr>
      <w:sz w:val="28"/>
      <w:szCs w:val="40"/>
    </w:rPr>
  </w:style>
  <w:style w:type="paragraph" w:styleId="Heading3">
    <w:name w:val="heading 3"/>
    <w:basedOn w:val="HeadingBase"/>
    <w:next w:val="BodyText"/>
    <w:link w:val="Heading3Char"/>
    <w:qFormat/>
    <w:rsid w:val="005D215B"/>
    <w:pPr>
      <w:spacing w:before="180" w:after="120"/>
      <w:outlineLvl w:val="2"/>
    </w:pPr>
    <w:rPr>
      <w:spacing w:val="-10"/>
      <w:kern w:val="32"/>
    </w:rPr>
  </w:style>
  <w:style w:type="paragraph" w:styleId="Heading4">
    <w:name w:val="heading 4"/>
    <w:basedOn w:val="HeadingBase"/>
    <w:next w:val="BodyText"/>
    <w:link w:val="Heading4Char"/>
    <w:qFormat/>
    <w:rsid w:val="005D215B"/>
    <w:pPr>
      <w:spacing w:before="160" w:after="120"/>
      <w:outlineLvl w:val="3"/>
    </w:pPr>
    <w:rPr>
      <w:sz w:val="22"/>
    </w:rPr>
  </w:style>
  <w:style w:type="paragraph" w:styleId="Heading5">
    <w:name w:val="heading 5"/>
    <w:basedOn w:val="HeadingBase"/>
    <w:next w:val="Normal"/>
    <w:link w:val="Heading5Char"/>
    <w:qFormat/>
    <w:rsid w:val="005D215B"/>
    <w:pPr>
      <w:spacing w:before="80"/>
      <w:outlineLvl w:val="4"/>
    </w:pPr>
    <w:rPr>
      <w:color w:val="918585"/>
      <w:sz w:val="20"/>
    </w:rPr>
  </w:style>
  <w:style w:type="paragraph" w:styleId="Heading6">
    <w:name w:val="heading 6"/>
    <w:basedOn w:val="HeadingBase"/>
    <w:next w:val="Normal"/>
    <w:link w:val="Heading6Char"/>
    <w:qFormat/>
    <w:rsid w:val="005D215B"/>
    <w:pPr>
      <w:spacing w:before="60"/>
      <w:outlineLvl w:val="5"/>
    </w:pPr>
    <w:rPr>
      <w:color w:val="918585"/>
      <w:sz w:val="20"/>
    </w:rPr>
  </w:style>
  <w:style w:type="paragraph" w:styleId="Heading7">
    <w:name w:val="heading 7"/>
    <w:basedOn w:val="Normal"/>
    <w:next w:val="Normal"/>
    <w:link w:val="Heading7Char"/>
    <w:qFormat/>
    <w:rsid w:val="005D215B"/>
    <w:pPr>
      <w:ind w:left="720"/>
      <w:outlineLvl w:val="6"/>
    </w:pPr>
    <w:rPr>
      <w:i/>
    </w:rPr>
  </w:style>
  <w:style w:type="paragraph" w:styleId="Heading8">
    <w:name w:val="heading 8"/>
    <w:basedOn w:val="Normal"/>
    <w:next w:val="Normal"/>
    <w:link w:val="Heading8Char"/>
    <w:qFormat/>
    <w:rsid w:val="005D215B"/>
    <w:pPr>
      <w:ind w:left="720"/>
      <w:outlineLvl w:val="7"/>
    </w:pPr>
    <w:rPr>
      <w:i/>
    </w:rPr>
  </w:style>
  <w:style w:type="paragraph" w:styleId="Heading9">
    <w:name w:val="heading 9"/>
    <w:basedOn w:val="Normal"/>
    <w:next w:val="Normal"/>
    <w:link w:val="Heading9Char"/>
    <w:qFormat/>
    <w:rsid w:val="005D215B"/>
    <w:pPr>
      <w:ind w:left="720"/>
      <w:outlineLvl w:val="8"/>
    </w:pPr>
    <w:rPr>
      <w:i/>
    </w:rPr>
  </w:style>
  <w:style w:type="character" w:default="1" w:styleId="DefaultParagraphFont">
    <w:name w:val="Default Paragraph Font"/>
    <w:uiPriority w:val="1"/>
    <w:unhideWhenUsed/>
    <w:rsid w:val="005D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15B"/>
  </w:style>
  <w:style w:type="character" w:customStyle="1" w:styleId="Heading1Char">
    <w:name w:val="Heading 1 Char"/>
    <w:basedOn w:val="DefaultParagraphFont"/>
    <w:link w:val="Heading1"/>
    <w:rsid w:val="005D215B"/>
    <w:rPr>
      <w:rFonts w:ascii="Times New Roman" w:eastAsia="Times New Roman" w:hAnsi="Times New Roman" w:cs="Times New Roman"/>
      <w:b/>
      <w:sz w:val="32"/>
      <w:szCs w:val="20"/>
      <w:lang w:eastAsia="en-US"/>
    </w:rPr>
  </w:style>
  <w:style w:type="paragraph" w:styleId="BodyText">
    <w:name w:val="Body Text"/>
    <w:basedOn w:val="Normal"/>
    <w:link w:val="BodyTextChar"/>
    <w:rsid w:val="005D2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15B"/>
    <w:rPr>
      <w:rFonts w:ascii="Times New Roman" w:eastAsia="Times New Roman" w:hAnsi="Times New Roman" w:cs="Times New Roman"/>
      <w:sz w:val="24"/>
      <w:lang w:val="en-US" w:eastAsia="en-US"/>
    </w:rPr>
  </w:style>
  <w:style w:type="paragraph" w:styleId="Footer">
    <w:name w:val="footer"/>
    <w:basedOn w:val="Normal"/>
    <w:link w:val="FooterChar"/>
    <w:rsid w:val="005D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15B"/>
    <w:rPr>
      <w:rFonts w:ascii="Times New Roman" w:eastAsia="Times New Roman" w:hAnsi="Times New Roman" w:cs="Times New Roman"/>
      <w:sz w:val="16"/>
      <w:lang w:val="en-US" w:eastAsia="en-US"/>
    </w:rPr>
  </w:style>
  <w:style w:type="paragraph" w:styleId="List">
    <w:name w:val="List"/>
    <w:basedOn w:val="BodyText"/>
    <w:next w:val="BodyText"/>
    <w:rsid w:val="005D215B"/>
    <w:pPr>
      <w:tabs>
        <w:tab w:val="left" w:pos="340"/>
      </w:tabs>
      <w:spacing w:before="60" w:after="60"/>
      <w:ind w:left="340" w:hanging="340"/>
    </w:pPr>
  </w:style>
  <w:style w:type="paragraph" w:styleId="ListBullet">
    <w:name w:val="List Bullet"/>
    <w:basedOn w:val="List"/>
    <w:rsid w:val="005D215B"/>
    <w:pPr>
      <w:numPr>
        <w:numId w:val="12"/>
      </w:numPr>
      <w:tabs>
        <w:tab w:val="clear" w:pos="340"/>
      </w:tabs>
      <w:spacing w:before="40" w:after="40"/>
    </w:pPr>
  </w:style>
  <w:style w:type="character" w:customStyle="1" w:styleId="SpecialBold">
    <w:name w:val="Special Bold"/>
    <w:basedOn w:val="DefaultParagraphFont"/>
    <w:rsid w:val="005D215B"/>
    <w:rPr>
      <w:b/>
      <w:spacing w:val="0"/>
    </w:rPr>
  </w:style>
  <w:style w:type="paragraph" w:styleId="Header">
    <w:name w:val="header"/>
    <w:basedOn w:val="Normal"/>
    <w:link w:val="HeaderChar"/>
    <w:rsid w:val="005D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1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215B"/>
    <w:pPr>
      <w:spacing w:before="240" w:after="120"/>
      <w:outlineLvl w:val="0"/>
    </w:pPr>
    <w:rPr>
      <w:rFonts w:ascii="Times New Roman" w:hAnsi="Times New Roman"/>
      <w:b/>
      <w:sz w:val="28"/>
    </w:rPr>
  </w:style>
  <w:style w:type="paragraph" w:customStyle="1" w:styleId="AllowPageBreak">
    <w:name w:val="AllowPageBreak"/>
    <w:rsid w:val="005D21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215B"/>
    <w:pPr>
      <w:tabs>
        <w:tab w:val="left" w:pos="680"/>
      </w:tabs>
      <w:spacing w:before="60" w:after="60"/>
      <w:ind w:left="680" w:hanging="340"/>
    </w:pPr>
  </w:style>
  <w:style w:type="character" w:customStyle="1" w:styleId="Heading2Char">
    <w:name w:val="Heading 2 Char"/>
    <w:basedOn w:val="DefaultParagraphFont"/>
    <w:link w:val="Heading2"/>
    <w:rsid w:val="005D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2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215B"/>
    <w:rPr>
      <w:rFonts w:ascii="Courier New" w:eastAsia="Times New Roman" w:hAnsi="Courier New" w:cs="Times New Roman"/>
      <w:i/>
      <w:szCs w:val="20"/>
      <w:lang w:val="en-US" w:eastAsia="en-US"/>
    </w:rPr>
  </w:style>
  <w:style w:type="paragraph" w:customStyle="1" w:styleId="HeadingBase">
    <w:name w:val="Heading Base"/>
    <w:rsid w:val="005D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15B"/>
    <w:pPr>
      <w:tabs>
        <w:tab w:val="right" w:leader="dot" w:pos="9072"/>
      </w:tabs>
      <w:ind w:left="567"/>
    </w:pPr>
    <w:rPr>
      <w:szCs w:val="22"/>
    </w:rPr>
  </w:style>
  <w:style w:type="paragraph" w:customStyle="1" w:styleId="TOCBase">
    <w:name w:val="TOC Base"/>
    <w:rsid w:val="005D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15B"/>
    <w:pPr>
      <w:tabs>
        <w:tab w:val="right" w:leader="dot" w:pos="9072"/>
      </w:tabs>
      <w:spacing w:before="40" w:after="40"/>
      <w:ind w:left="284"/>
    </w:pPr>
    <w:rPr>
      <w:rFonts w:ascii="Times New Roman" w:hAnsi="Times New Roman"/>
    </w:rPr>
  </w:style>
  <w:style w:type="paragraph" w:styleId="TOC1">
    <w:name w:val="toc 1"/>
    <w:basedOn w:val="TOCBase"/>
    <w:next w:val="Normal"/>
    <w:rsid w:val="005D2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15B"/>
    <w:pPr>
      <w:spacing w:before="5040"/>
      <w:jc w:val="center"/>
    </w:pPr>
    <w:rPr>
      <w:sz w:val="48"/>
      <w:szCs w:val="72"/>
      <w:lang w:val="en-US"/>
    </w:rPr>
  </w:style>
  <w:style w:type="character" w:customStyle="1" w:styleId="TitleChar">
    <w:name w:val="Title Char"/>
    <w:basedOn w:val="DefaultParagraphFont"/>
    <w:link w:val="Title"/>
    <w:rsid w:val="005D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15B"/>
    <w:pPr>
      <w:tabs>
        <w:tab w:val="left" w:pos="3600"/>
        <w:tab w:val="left" w:pos="3958"/>
      </w:tabs>
    </w:pPr>
  </w:style>
  <w:style w:type="paragraph" w:customStyle="1" w:styleId="Note">
    <w:name w:val="Note"/>
    <w:basedOn w:val="BodyText"/>
    <w:rsid w:val="005D2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15B"/>
    <w:pPr>
      <w:framePr w:wrap="auto" w:hAnchor="text" w:y="6049"/>
    </w:pPr>
    <w:rPr>
      <w:color w:val="000000"/>
      <w:sz w:val="40"/>
    </w:rPr>
  </w:style>
  <w:style w:type="paragraph" w:customStyle="1" w:styleId="TOCTitle">
    <w:name w:val="TOCTitle"/>
    <w:basedOn w:val="Heading1"/>
    <w:rsid w:val="005D215B"/>
    <w:pPr>
      <w:spacing w:after="240"/>
      <w:jc w:val="center"/>
      <w:outlineLvl w:val="9"/>
    </w:pPr>
    <w:rPr>
      <w:caps/>
    </w:rPr>
  </w:style>
  <w:style w:type="paragraph" w:customStyle="1" w:styleId="Version">
    <w:name w:val="Version"/>
    <w:rsid w:val="005D21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15B"/>
    <w:pPr>
      <w:numPr>
        <w:numId w:val="13"/>
      </w:numPr>
      <w:tabs>
        <w:tab w:val="clear" w:pos="680"/>
      </w:tabs>
    </w:pPr>
  </w:style>
  <w:style w:type="paragraph" w:styleId="Index1">
    <w:name w:val="index 1"/>
    <w:basedOn w:val="Normal"/>
    <w:next w:val="Normal"/>
    <w:semiHidden/>
    <w:rsid w:val="005D215B"/>
    <w:pPr>
      <w:keepNext w:val="0"/>
      <w:tabs>
        <w:tab w:val="right" w:pos="4176"/>
      </w:tabs>
      <w:ind w:left="198" w:hanging="198"/>
    </w:pPr>
    <w:rPr>
      <w:rFonts w:ascii="Garamond" w:hAnsi="Garamond"/>
    </w:rPr>
  </w:style>
  <w:style w:type="paragraph" w:styleId="IndexHeading">
    <w:name w:val="index heading"/>
    <w:basedOn w:val="Normal"/>
    <w:next w:val="Index1"/>
    <w:semiHidden/>
    <w:rsid w:val="005D215B"/>
    <w:pPr>
      <w:spacing w:before="120" w:after="120"/>
    </w:pPr>
    <w:rPr>
      <w:rFonts w:ascii="Arial" w:hAnsi="Arial"/>
      <w:b/>
      <w:color w:val="918585"/>
      <w:sz w:val="24"/>
    </w:rPr>
  </w:style>
  <w:style w:type="paragraph" w:customStyle="1" w:styleId="Chapter">
    <w:name w:val="Chapter"/>
    <w:basedOn w:val="Normal"/>
    <w:rsid w:val="005D215B"/>
    <w:pPr>
      <w:spacing w:before="240"/>
    </w:pPr>
    <w:rPr>
      <w:rFonts w:ascii="Times New Roman" w:hAnsi="Times New Roman"/>
      <w:smallCaps/>
      <w:spacing w:val="80"/>
      <w:sz w:val="28"/>
    </w:rPr>
  </w:style>
  <w:style w:type="paragraph" w:customStyle="1" w:styleId="InChapter">
    <w:name w:val="InChapter"/>
    <w:basedOn w:val="Heading3"/>
    <w:rsid w:val="005D215B"/>
    <w:pPr>
      <w:spacing w:after="240"/>
      <w:outlineLvl w:val="9"/>
    </w:pPr>
    <w:rPr>
      <w:noProof/>
    </w:rPr>
  </w:style>
  <w:style w:type="paragraph" w:styleId="Index2">
    <w:name w:val="index 2"/>
    <w:basedOn w:val="Normal"/>
    <w:next w:val="Normal"/>
    <w:semiHidden/>
    <w:rsid w:val="005D215B"/>
    <w:pPr>
      <w:tabs>
        <w:tab w:val="right" w:pos="4176"/>
      </w:tabs>
      <w:ind w:left="568" w:hanging="284"/>
    </w:pPr>
    <w:rPr>
      <w:rFonts w:ascii="Garamond" w:hAnsi="Garamond"/>
    </w:rPr>
  </w:style>
  <w:style w:type="paragraph" w:customStyle="1" w:styleId="Byline">
    <w:name w:val="Byline"/>
    <w:rsid w:val="005D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15B"/>
    <w:pPr>
      <w:tabs>
        <w:tab w:val="clear" w:pos="3600"/>
        <w:tab w:val="clear" w:pos="3958"/>
      </w:tabs>
      <w:jc w:val="right"/>
    </w:pPr>
  </w:style>
  <w:style w:type="character" w:styleId="Emphasis">
    <w:name w:val="Emphasis"/>
    <w:basedOn w:val="DefaultParagraphFont"/>
    <w:qFormat/>
    <w:rsid w:val="005D215B"/>
    <w:rPr>
      <w:i/>
    </w:rPr>
  </w:style>
  <w:style w:type="paragraph" w:styleId="Caption">
    <w:name w:val="caption"/>
    <w:basedOn w:val="BodyText"/>
    <w:next w:val="Normal"/>
    <w:qFormat/>
    <w:rsid w:val="005D215B"/>
    <w:pPr>
      <w:framePr w:w="2268" w:hSpace="181" w:vSpace="181" w:wrap="around" w:vAnchor="text" w:hAnchor="page" w:x="1135" w:y="285" w:anchorLock="1"/>
    </w:pPr>
    <w:rPr>
      <w:i/>
    </w:rPr>
  </w:style>
  <w:style w:type="paragraph" w:customStyle="1" w:styleId="MiniTOCTitle">
    <w:name w:val="MiniTOCTitle"/>
    <w:basedOn w:val="Heading4"/>
    <w:rsid w:val="005D215B"/>
    <w:pPr>
      <w:spacing w:before="240"/>
      <w:outlineLvl w:val="9"/>
    </w:pPr>
    <w:rPr>
      <w:noProof/>
      <w:sz w:val="24"/>
    </w:rPr>
  </w:style>
  <w:style w:type="paragraph" w:customStyle="1" w:styleId="MiniTOCItem">
    <w:name w:val="MiniTOCItem"/>
    <w:basedOn w:val="ListBullet"/>
    <w:rsid w:val="005D215B"/>
    <w:pPr>
      <w:numPr>
        <w:numId w:val="0"/>
      </w:numPr>
      <w:tabs>
        <w:tab w:val="right" w:leader="dot" w:pos="6521"/>
      </w:tabs>
      <w:spacing w:before="0" w:after="0"/>
    </w:pPr>
  </w:style>
  <w:style w:type="paragraph" w:customStyle="1" w:styleId="TOFTitle">
    <w:name w:val="TOFTitle"/>
    <w:basedOn w:val="TOCTitle"/>
    <w:rsid w:val="005D215B"/>
  </w:style>
  <w:style w:type="paragraph" w:styleId="TableofFigures">
    <w:name w:val="table of figures"/>
    <w:basedOn w:val="Normal"/>
    <w:next w:val="Normal"/>
    <w:semiHidden/>
    <w:rsid w:val="005D215B"/>
    <w:pPr>
      <w:tabs>
        <w:tab w:val="right" w:leader="dot" w:pos="9072"/>
      </w:tabs>
      <w:ind w:left="970" w:hanging="403"/>
    </w:pPr>
    <w:rPr>
      <w:rFonts w:ascii="Times New Roman" w:hAnsi="Times New Roman"/>
      <w:b/>
    </w:rPr>
  </w:style>
  <w:style w:type="paragraph" w:styleId="ListNumber">
    <w:name w:val="List Number"/>
    <w:basedOn w:val="List"/>
    <w:rsid w:val="005D215B"/>
    <w:pPr>
      <w:numPr>
        <w:numId w:val="10"/>
      </w:numPr>
    </w:pPr>
  </w:style>
  <w:style w:type="character" w:customStyle="1" w:styleId="WingdingSymbols">
    <w:name w:val="Wingding Symbols"/>
    <w:rsid w:val="005D215B"/>
    <w:rPr>
      <w:rFonts w:ascii="Wingdings" w:hAnsi="Wingdings"/>
    </w:rPr>
  </w:style>
  <w:style w:type="paragraph" w:customStyle="1" w:styleId="TableHeading">
    <w:name w:val="Table Heading"/>
    <w:basedOn w:val="HeadingBase"/>
    <w:rsid w:val="005D215B"/>
    <w:pPr>
      <w:keepLines/>
      <w:pBdr>
        <w:bottom w:val="single" w:sz="6" w:space="1" w:color="918585"/>
      </w:pBdr>
      <w:spacing w:before="240"/>
    </w:pPr>
  </w:style>
  <w:style w:type="character" w:customStyle="1" w:styleId="HotSpot">
    <w:name w:val="HotSpot"/>
    <w:rsid w:val="005D215B"/>
    <w:rPr>
      <w:color w:val="0033CC"/>
      <w:u w:val="none"/>
    </w:rPr>
  </w:style>
  <w:style w:type="paragraph" w:customStyle="1" w:styleId="BodyTextRight">
    <w:name w:val="Body Text Right"/>
    <w:basedOn w:val="BodyText"/>
    <w:rsid w:val="005D215B"/>
    <w:pPr>
      <w:spacing w:before="0" w:after="0"/>
      <w:jc w:val="right"/>
    </w:pPr>
  </w:style>
  <w:style w:type="paragraph" w:styleId="Index3">
    <w:name w:val="index 3"/>
    <w:basedOn w:val="ListNumber2"/>
    <w:next w:val="Normal"/>
    <w:semiHidden/>
    <w:rsid w:val="005D215B"/>
    <w:pPr>
      <w:numPr>
        <w:numId w:val="0"/>
      </w:numPr>
      <w:tabs>
        <w:tab w:val="right" w:leader="dot" w:pos="4176"/>
      </w:tabs>
    </w:pPr>
  </w:style>
  <w:style w:type="paragraph" w:styleId="ListNumber2">
    <w:name w:val="List Number 2"/>
    <w:basedOn w:val="List2"/>
    <w:rsid w:val="005D215B"/>
    <w:pPr>
      <w:numPr>
        <w:numId w:val="9"/>
      </w:numPr>
      <w:tabs>
        <w:tab w:val="clear" w:pos="1060"/>
      </w:tabs>
    </w:pPr>
  </w:style>
  <w:style w:type="paragraph" w:customStyle="1" w:styleId="MarginNote">
    <w:name w:val="Margin Note"/>
    <w:basedOn w:val="BodyText"/>
    <w:rsid w:val="005D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215B"/>
    <w:rPr>
      <w:sz w:val="32"/>
    </w:rPr>
  </w:style>
  <w:style w:type="paragraph" w:customStyle="1" w:styleId="HeadingProcedure">
    <w:name w:val="Heading Procedure"/>
    <w:basedOn w:val="HeadingBase"/>
    <w:next w:val="Normal"/>
    <w:rsid w:val="005D215B"/>
    <w:pPr>
      <w:tabs>
        <w:tab w:val="left" w:pos="0"/>
      </w:tabs>
      <w:spacing w:before="120" w:after="60"/>
    </w:pPr>
    <w:rPr>
      <w:i/>
      <w:color w:val="918585"/>
      <w:sz w:val="22"/>
    </w:rPr>
  </w:style>
  <w:style w:type="paragraph" w:customStyle="1" w:styleId="TableBodyText">
    <w:name w:val="Table Body Text"/>
    <w:basedOn w:val="BodyText"/>
    <w:rsid w:val="005D215B"/>
    <w:pPr>
      <w:spacing w:before="60" w:after="60"/>
    </w:pPr>
  </w:style>
  <w:style w:type="paragraph" w:styleId="ListContinue">
    <w:name w:val="List Continue"/>
    <w:basedOn w:val="List"/>
    <w:rsid w:val="005D215B"/>
    <w:pPr>
      <w:ind w:firstLine="0"/>
    </w:pPr>
  </w:style>
  <w:style w:type="paragraph" w:customStyle="1" w:styleId="ListNote">
    <w:name w:val="List Note"/>
    <w:basedOn w:val="List"/>
    <w:rsid w:val="005D215B"/>
    <w:pPr>
      <w:pBdr>
        <w:top w:val="single" w:sz="6" w:space="2" w:color="918585"/>
        <w:bottom w:val="single" w:sz="6" w:space="2" w:color="918585"/>
      </w:pBdr>
      <w:tabs>
        <w:tab w:val="left" w:pos="1021"/>
      </w:tabs>
      <w:ind w:firstLine="0"/>
    </w:pPr>
  </w:style>
  <w:style w:type="paragraph" w:customStyle="1" w:styleId="Warning">
    <w:name w:val="Warning"/>
    <w:basedOn w:val="BodyText"/>
    <w:rsid w:val="005D215B"/>
    <w:pPr>
      <w:shd w:val="clear" w:color="auto" w:fill="D9D9D9"/>
      <w:tabs>
        <w:tab w:val="left" w:pos="992"/>
      </w:tabs>
      <w:ind w:left="119" w:right="119"/>
    </w:pPr>
    <w:rPr>
      <w:sz w:val="20"/>
    </w:rPr>
  </w:style>
  <w:style w:type="paragraph" w:customStyle="1" w:styleId="MarginIcons">
    <w:name w:val="Margin Icons"/>
    <w:basedOn w:val="BodyText"/>
    <w:rsid w:val="005D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15B"/>
    <w:rPr>
      <w:rFonts w:ascii="Courier New" w:hAnsi="Courier New"/>
    </w:rPr>
  </w:style>
  <w:style w:type="paragraph" w:customStyle="1" w:styleId="NoteBullet">
    <w:name w:val="Note Bullet"/>
    <w:basedOn w:val="Note"/>
    <w:rsid w:val="005D215B"/>
    <w:pPr>
      <w:tabs>
        <w:tab w:val="clear" w:pos="680"/>
      </w:tabs>
      <w:spacing w:before="60" w:after="60"/>
    </w:pPr>
  </w:style>
  <w:style w:type="paragraph" w:customStyle="1" w:styleId="SubHeading2">
    <w:name w:val="SubHeading2"/>
    <w:basedOn w:val="HeadingBase"/>
    <w:rsid w:val="005D215B"/>
    <w:pPr>
      <w:spacing w:before="240" w:after="60"/>
    </w:pPr>
    <w:rPr>
      <w:sz w:val="20"/>
    </w:rPr>
  </w:style>
  <w:style w:type="paragraph" w:customStyle="1" w:styleId="SubHeading1">
    <w:name w:val="SubHeading1"/>
    <w:basedOn w:val="HeadingBase"/>
    <w:rsid w:val="005D215B"/>
    <w:pPr>
      <w:spacing w:before="240" w:after="60"/>
    </w:pPr>
    <w:rPr>
      <w:color w:val="918585"/>
      <w:sz w:val="22"/>
    </w:rPr>
  </w:style>
  <w:style w:type="paragraph" w:customStyle="1" w:styleId="SideHeading">
    <w:name w:val="Side Heading"/>
    <w:basedOn w:val="HeadingBase"/>
    <w:rsid w:val="005D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15B"/>
    <w:pPr>
      <w:tabs>
        <w:tab w:val="num" w:pos="360"/>
      </w:tabs>
    </w:pPr>
  </w:style>
  <w:style w:type="paragraph" w:styleId="PlainText">
    <w:name w:val="Plain Text"/>
    <w:basedOn w:val="Normal"/>
    <w:link w:val="PlainTextChar"/>
    <w:rsid w:val="005D215B"/>
    <w:rPr>
      <w:sz w:val="20"/>
    </w:rPr>
  </w:style>
  <w:style w:type="character" w:customStyle="1" w:styleId="PlainTextChar">
    <w:name w:val="Plain Text Char"/>
    <w:basedOn w:val="DefaultParagraphFont"/>
    <w:link w:val="PlainText"/>
    <w:rsid w:val="005D2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215B"/>
    <w:rPr>
      <w:b/>
      <w:smallCaps/>
    </w:rPr>
  </w:style>
  <w:style w:type="paragraph" w:customStyle="1" w:styleId="TableListNumber">
    <w:name w:val="Table List Number"/>
    <w:basedOn w:val="ListNumber"/>
    <w:rsid w:val="005D215B"/>
    <w:pPr>
      <w:numPr>
        <w:numId w:val="0"/>
      </w:numPr>
    </w:pPr>
  </w:style>
  <w:style w:type="paragraph" w:styleId="TOC4">
    <w:name w:val="toc 4"/>
    <w:basedOn w:val="TOCBase"/>
    <w:next w:val="Normal"/>
    <w:semiHidden/>
    <w:rsid w:val="005D215B"/>
    <w:pPr>
      <w:tabs>
        <w:tab w:val="right" w:leader="dot" w:pos="9071"/>
      </w:tabs>
      <w:ind w:left="1701"/>
    </w:pPr>
  </w:style>
  <w:style w:type="paragraph" w:customStyle="1" w:styleId="ListAlpha">
    <w:name w:val="List Alpha"/>
    <w:basedOn w:val="List"/>
    <w:rsid w:val="005D215B"/>
    <w:pPr>
      <w:numPr>
        <w:numId w:val="8"/>
      </w:numPr>
    </w:pPr>
  </w:style>
  <w:style w:type="paragraph" w:customStyle="1" w:styleId="ListAlpha2">
    <w:name w:val="List Alpha 2"/>
    <w:basedOn w:val="List2"/>
    <w:rsid w:val="005D215B"/>
    <w:pPr>
      <w:numPr>
        <w:numId w:val="7"/>
      </w:numPr>
    </w:pPr>
  </w:style>
  <w:style w:type="paragraph" w:styleId="List3">
    <w:name w:val="List 3"/>
    <w:basedOn w:val="BodyText"/>
    <w:rsid w:val="005D215B"/>
    <w:pPr>
      <w:tabs>
        <w:tab w:val="left" w:pos="1021"/>
      </w:tabs>
      <w:spacing w:before="60" w:after="60"/>
      <w:ind w:left="1020" w:hanging="340"/>
    </w:pPr>
  </w:style>
  <w:style w:type="paragraph" w:styleId="List4">
    <w:name w:val="List 4"/>
    <w:basedOn w:val="BodyText"/>
    <w:rsid w:val="005D215B"/>
    <w:pPr>
      <w:tabs>
        <w:tab w:val="left" w:pos="1361"/>
      </w:tabs>
      <w:spacing w:before="60" w:after="60"/>
      <w:ind w:left="1361" w:hanging="340"/>
    </w:pPr>
  </w:style>
  <w:style w:type="paragraph" w:styleId="List5">
    <w:name w:val="List 5"/>
    <w:basedOn w:val="BodyText"/>
    <w:rsid w:val="005D215B"/>
    <w:pPr>
      <w:tabs>
        <w:tab w:val="left" w:pos="1701"/>
      </w:tabs>
      <w:spacing w:before="60" w:after="60"/>
      <w:ind w:left="1701" w:hanging="340"/>
    </w:pPr>
  </w:style>
  <w:style w:type="paragraph" w:styleId="ListBullet3">
    <w:name w:val="List Bullet 3"/>
    <w:basedOn w:val="List3"/>
    <w:rsid w:val="005D215B"/>
    <w:pPr>
      <w:numPr>
        <w:numId w:val="14"/>
      </w:numPr>
      <w:tabs>
        <w:tab w:val="clear" w:pos="1021"/>
      </w:tabs>
      <w:ind w:left="1037" w:hanging="357"/>
    </w:pPr>
  </w:style>
  <w:style w:type="paragraph" w:styleId="ListBullet4">
    <w:name w:val="List Bullet 4"/>
    <w:basedOn w:val="List4"/>
    <w:rsid w:val="005D215B"/>
    <w:pPr>
      <w:numPr>
        <w:numId w:val="2"/>
      </w:numPr>
    </w:pPr>
  </w:style>
  <w:style w:type="paragraph" w:styleId="ListBullet5">
    <w:name w:val="List Bullet 5"/>
    <w:basedOn w:val="List5"/>
    <w:rsid w:val="005D215B"/>
    <w:pPr>
      <w:numPr>
        <w:numId w:val="3"/>
      </w:numPr>
    </w:pPr>
  </w:style>
  <w:style w:type="paragraph" w:styleId="ListContinue2">
    <w:name w:val="List Continue 2"/>
    <w:basedOn w:val="List2"/>
    <w:rsid w:val="005D215B"/>
    <w:pPr>
      <w:ind w:firstLine="0"/>
    </w:pPr>
  </w:style>
  <w:style w:type="paragraph" w:styleId="ListContinue3">
    <w:name w:val="List Continue 3"/>
    <w:basedOn w:val="List3"/>
    <w:rsid w:val="005D215B"/>
    <w:pPr>
      <w:ind w:left="1021" w:firstLine="0"/>
    </w:pPr>
  </w:style>
  <w:style w:type="paragraph" w:styleId="ListContinue4">
    <w:name w:val="List Continue 4"/>
    <w:basedOn w:val="List4"/>
    <w:rsid w:val="005D215B"/>
    <w:pPr>
      <w:ind w:firstLine="0"/>
    </w:pPr>
  </w:style>
  <w:style w:type="paragraph" w:styleId="ListContinue5">
    <w:name w:val="List Continue 5"/>
    <w:basedOn w:val="List5"/>
    <w:rsid w:val="005D215B"/>
    <w:pPr>
      <w:ind w:firstLine="0"/>
    </w:pPr>
  </w:style>
  <w:style w:type="paragraph" w:styleId="ListNumber3">
    <w:name w:val="List Number 3"/>
    <w:basedOn w:val="List3"/>
    <w:rsid w:val="005D215B"/>
    <w:pPr>
      <w:numPr>
        <w:numId w:val="4"/>
      </w:numPr>
    </w:pPr>
  </w:style>
  <w:style w:type="paragraph" w:styleId="ListNumber4">
    <w:name w:val="List Number 4"/>
    <w:basedOn w:val="List4"/>
    <w:rsid w:val="005D215B"/>
    <w:pPr>
      <w:numPr>
        <w:numId w:val="5"/>
      </w:numPr>
    </w:pPr>
  </w:style>
  <w:style w:type="paragraph" w:styleId="ListNumber5">
    <w:name w:val="List Number 5"/>
    <w:basedOn w:val="List5"/>
    <w:rsid w:val="005D215B"/>
    <w:pPr>
      <w:numPr>
        <w:numId w:val="6"/>
      </w:numPr>
    </w:pPr>
  </w:style>
  <w:style w:type="paragraph" w:styleId="BlockText">
    <w:name w:val="Block Text"/>
    <w:basedOn w:val="Normal"/>
    <w:rsid w:val="005D215B"/>
    <w:pPr>
      <w:spacing w:after="120"/>
      <w:ind w:left="1440" w:right="1440"/>
    </w:pPr>
  </w:style>
  <w:style w:type="character" w:customStyle="1" w:styleId="Subscript">
    <w:name w:val="Subscript"/>
    <w:basedOn w:val="DefaultParagraphFont"/>
    <w:rsid w:val="005D215B"/>
    <w:rPr>
      <w:sz w:val="16"/>
      <w:vertAlign w:val="subscript"/>
    </w:rPr>
  </w:style>
  <w:style w:type="character" w:customStyle="1" w:styleId="Superscript">
    <w:name w:val="Superscript"/>
    <w:basedOn w:val="DefaultParagraphFont"/>
    <w:rsid w:val="005D215B"/>
    <w:rPr>
      <w:sz w:val="16"/>
      <w:vertAlign w:val="superscript"/>
    </w:rPr>
  </w:style>
  <w:style w:type="character" w:customStyle="1" w:styleId="Symbols">
    <w:name w:val="Symbols"/>
    <w:basedOn w:val="DefaultParagraphFont"/>
    <w:rsid w:val="005D215B"/>
    <w:rPr>
      <w:rFonts w:ascii="Symbol" w:hAnsi="Symbol"/>
    </w:rPr>
  </w:style>
  <w:style w:type="character" w:customStyle="1" w:styleId="MenuOptions">
    <w:name w:val="Menu Options"/>
    <w:basedOn w:val="DefaultParagraphFont"/>
    <w:rsid w:val="005D215B"/>
    <w:rPr>
      <w:rFonts w:ascii="Arial Narrow" w:hAnsi="Arial Narrow"/>
      <w:smallCaps/>
    </w:rPr>
  </w:style>
  <w:style w:type="character" w:customStyle="1" w:styleId="Buttons">
    <w:name w:val="Buttons"/>
    <w:basedOn w:val="DefaultParagraphFont"/>
    <w:rsid w:val="005D215B"/>
    <w:rPr>
      <w:b/>
    </w:rPr>
  </w:style>
  <w:style w:type="character" w:customStyle="1" w:styleId="Underlined">
    <w:name w:val="Underlined"/>
    <w:basedOn w:val="DefaultParagraphFont"/>
    <w:rsid w:val="005D215B"/>
    <w:rPr>
      <w:u w:val="single"/>
    </w:rPr>
  </w:style>
  <w:style w:type="paragraph" w:customStyle="1" w:styleId="TableBodyTextRight">
    <w:name w:val="Table Body Text Right"/>
    <w:basedOn w:val="TableBodyText"/>
    <w:rsid w:val="005D215B"/>
    <w:pPr>
      <w:widowControl w:val="0"/>
      <w:autoSpaceDE w:val="0"/>
      <w:autoSpaceDN w:val="0"/>
      <w:adjustRightInd w:val="0"/>
      <w:jc w:val="right"/>
    </w:pPr>
    <w:rPr>
      <w:rFonts w:cs="Arial"/>
      <w:szCs w:val="18"/>
    </w:rPr>
  </w:style>
  <w:style w:type="paragraph" w:customStyle="1" w:styleId="CopyrightText">
    <w:name w:val="Copyright Text"/>
    <w:basedOn w:val="BodyText"/>
    <w:rsid w:val="005D215B"/>
    <w:rPr>
      <w:sz w:val="18"/>
    </w:rPr>
  </w:style>
  <w:style w:type="paragraph" w:customStyle="1" w:styleId="BodySmallRight">
    <w:name w:val="Body Small Right"/>
    <w:basedOn w:val="BodyTextRight"/>
    <w:rsid w:val="005D215B"/>
    <w:rPr>
      <w:sz w:val="18"/>
      <w:szCs w:val="18"/>
    </w:rPr>
  </w:style>
  <w:style w:type="paragraph" w:customStyle="1" w:styleId="MarginEdition">
    <w:name w:val="Margin Edition"/>
    <w:basedOn w:val="MarginNote"/>
    <w:rsid w:val="005D215B"/>
    <w:pPr>
      <w:spacing w:before="0" w:after="0"/>
    </w:pPr>
    <w:rPr>
      <w:rFonts w:ascii="Times New Roman" w:hAnsi="Times New Roman"/>
      <w:color w:val="999999"/>
    </w:rPr>
  </w:style>
  <w:style w:type="paragraph" w:customStyle="1" w:styleId="Spacer">
    <w:name w:val="Spacer"/>
    <w:basedOn w:val="Normal"/>
    <w:rsid w:val="005D215B"/>
    <w:rPr>
      <w:sz w:val="2"/>
      <w:szCs w:val="2"/>
    </w:rPr>
  </w:style>
  <w:style w:type="character" w:customStyle="1" w:styleId="Small">
    <w:name w:val="Small"/>
    <w:basedOn w:val="DefaultParagraphFont"/>
    <w:rsid w:val="005D215B"/>
    <w:rPr>
      <w:sz w:val="16"/>
    </w:rPr>
  </w:style>
  <w:style w:type="paragraph" w:customStyle="1" w:styleId="WideTable">
    <w:name w:val="Wide Table"/>
    <w:basedOn w:val="Normal"/>
    <w:rsid w:val="005D215B"/>
    <w:pPr>
      <w:ind w:left="-1418"/>
    </w:pPr>
    <w:rPr>
      <w:sz w:val="2"/>
      <w:szCs w:val="2"/>
    </w:rPr>
  </w:style>
  <w:style w:type="character" w:styleId="PageNumber">
    <w:name w:val="page number"/>
    <w:basedOn w:val="DefaultParagraphFont"/>
    <w:rsid w:val="005D215B"/>
  </w:style>
  <w:style w:type="paragraph" w:styleId="Quote">
    <w:name w:val="Quote"/>
    <w:basedOn w:val="Heading1"/>
    <w:link w:val="QuoteChar"/>
    <w:qFormat/>
    <w:rsid w:val="005D215B"/>
    <w:rPr>
      <w:b w:val="0"/>
      <w:sz w:val="72"/>
      <w:szCs w:val="72"/>
      <w:lang w:val="en-NZ"/>
    </w:rPr>
  </w:style>
  <w:style w:type="character" w:customStyle="1" w:styleId="QuoteChar">
    <w:name w:val="Quote Char"/>
    <w:basedOn w:val="DefaultParagraphFont"/>
    <w:link w:val="Quote"/>
    <w:rsid w:val="005D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15B"/>
    <w:pPr>
      <w:pageBreakBefore/>
    </w:pPr>
  </w:style>
  <w:style w:type="paragraph" w:customStyle="1" w:styleId="Border">
    <w:name w:val="Border"/>
    <w:basedOn w:val="Normal"/>
    <w:qFormat/>
    <w:rsid w:val="005D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15B"/>
    <w:rPr>
      <w:b/>
      <w:bCs/>
      <w:i/>
      <w:iCs/>
      <w:color w:val="auto"/>
    </w:rPr>
  </w:style>
  <w:style w:type="paragraph" w:styleId="IntenseQuote">
    <w:name w:val="Intense Quote"/>
    <w:basedOn w:val="Normal"/>
    <w:next w:val="Normal"/>
    <w:link w:val="IntenseQuoteChar"/>
    <w:uiPriority w:val="30"/>
    <w:qFormat/>
    <w:rsid w:val="005D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215B"/>
    <w:rPr>
      <w:smallCaps/>
      <w:color w:val="auto"/>
      <w:u w:val="single"/>
    </w:rPr>
  </w:style>
  <w:style w:type="character" w:styleId="IntenseReference">
    <w:name w:val="Intense Reference"/>
    <w:basedOn w:val="DefaultParagraphFont"/>
    <w:uiPriority w:val="32"/>
    <w:qFormat/>
    <w:rsid w:val="005D215B"/>
    <w:rPr>
      <w:b/>
      <w:bCs/>
      <w:smallCaps/>
      <w:color w:val="auto"/>
      <w:spacing w:val="5"/>
      <w:u w:val="single"/>
    </w:rPr>
  </w:style>
  <w:style w:type="paragraph" w:customStyle="1" w:styleId="2ColumnHeading">
    <w:name w:val="2Column Heading"/>
    <w:basedOn w:val="BodyText"/>
    <w:qFormat/>
    <w:rsid w:val="005D215B"/>
    <w:pPr>
      <w:spacing w:after="60"/>
      <w:ind w:left="-2268"/>
    </w:pPr>
    <w:rPr>
      <w:b/>
    </w:rPr>
  </w:style>
  <w:style w:type="paragraph" w:customStyle="1" w:styleId="Heading1TOC">
    <w:name w:val="Heading1 TOC"/>
    <w:basedOn w:val="Normal"/>
    <w:qFormat/>
    <w:rsid w:val="005D215B"/>
    <w:pPr>
      <w:spacing w:before="240" w:after="120"/>
    </w:pPr>
    <w:rPr>
      <w:rFonts w:ascii="Times New Roman" w:hAnsi="Times New Roman"/>
      <w:b/>
      <w:sz w:val="32"/>
    </w:rPr>
  </w:style>
  <w:style w:type="paragraph" w:customStyle="1" w:styleId="Heading2TOC">
    <w:name w:val="Heading2 TOC"/>
    <w:basedOn w:val="Normal"/>
    <w:qFormat/>
    <w:rsid w:val="005D215B"/>
    <w:pPr>
      <w:spacing w:before="240" w:after="60"/>
    </w:pPr>
    <w:rPr>
      <w:rFonts w:ascii="Times New Roman" w:hAnsi="Times New Roman"/>
      <w:b/>
      <w:sz w:val="28"/>
    </w:rPr>
  </w:style>
  <w:style w:type="character" w:customStyle="1" w:styleId="Underline">
    <w:name w:val="Underline"/>
    <w:basedOn w:val="DefaultParagraphFont"/>
    <w:qFormat/>
    <w:rsid w:val="005D215B"/>
    <w:rPr>
      <w:u w:val="single"/>
    </w:rPr>
  </w:style>
  <w:style w:type="character" w:customStyle="1" w:styleId="BoldandItalics">
    <w:name w:val="Bold and Italics"/>
    <w:qFormat/>
    <w:rsid w:val="005D215B"/>
    <w:rPr>
      <w:b/>
      <w:i/>
      <w:u w:val="none"/>
    </w:rPr>
  </w:style>
  <w:style w:type="paragraph" w:styleId="BalloonText">
    <w:name w:val="Balloon Text"/>
    <w:basedOn w:val="Normal"/>
    <w:link w:val="BalloonTextChar"/>
    <w:rsid w:val="005D215B"/>
    <w:rPr>
      <w:rFonts w:ascii="Tahoma" w:hAnsi="Tahoma" w:cs="Tahoma"/>
      <w:sz w:val="16"/>
      <w:szCs w:val="16"/>
    </w:rPr>
  </w:style>
  <w:style w:type="character" w:customStyle="1" w:styleId="BalloonTextChar">
    <w:name w:val="Balloon Text Char"/>
    <w:basedOn w:val="DefaultParagraphFont"/>
    <w:link w:val="BalloonText"/>
    <w:rsid w:val="005D2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2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696</Words>
  <Characters>4229</Characters>
  <Application>Microsoft Office Word</Application>
  <DocSecurity>0</DocSecurity>
  <Lines>179</Lines>
  <Paragraphs>91</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AHCAGB606A Manage price risk through trading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