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434" w:rsidP="00785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AHCSPO309 Process planting seed</w:t>
      </w:r>
      <w:r>
        <w:fldChar w:fldCharType="end"/>
      </w:r>
    </w:p>
    <w:p w:rsidR="00785434" w:rsidP="00785434">
      <w:pPr>
        <w:pStyle w:val="Version"/>
        <w:sectPr w:rsidSect="00F17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F7A" w:rsidP="00F17F7A">
      <w:pPr>
        <w:pStyle w:val="SuperHeading"/>
      </w:pPr>
      <w:r w:rsidRPr="00F17F7A">
        <w:t>AHCSPO309 Process planting seed</w:t>
      </w:r>
    </w:p>
    <w:p w:rsidR="00000000" w:rsidRPr="00F17F7A" w:rsidP="00F17F7A">
      <w:pPr>
        <w:pStyle w:val="Heading1"/>
      </w:pPr>
      <w:bookmarkStart w:id="1" w:name="O_1214297"/>
      <w:bookmarkEnd w:id="1"/>
      <w:r w:rsidRPr="00F17F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Comments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version released with AHC Agriculture, Horticulture and Conservation and Land Management Training Package Version 7.0.</w:t>
            </w:r>
          </w:p>
        </w:tc>
      </w:tr>
    </w:tbl>
    <w:p w:rsidR="00000000" w:rsidRPr="00F17F7A" w:rsidP="00F17F7A">
      <w:pPr>
        <w:pStyle w:val="BodyText"/>
      </w:pPr>
    </w:p>
    <w:p w:rsidR="00000000" w:rsidRPr="00F17F7A" w:rsidP="00F17F7A">
      <w:pPr>
        <w:pStyle w:val="AllowPageBreak"/>
      </w:pPr>
    </w:p>
    <w:p w:rsidR="00000000" w:rsidRPr="00F17F7A" w:rsidP="00F17F7A">
      <w:pPr>
        <w:pStyle w:val="Heading1"/>
      </w:pPr>
      <w:bookmarkStart w:id="2" w:name="O_1214298"/>
      <w:bookmarkEnd w:id="2"/>
      <w:r w:rsidRPr="00F17F7A">
        <w:t>Application</w:t>
      </w:r>
    </w:p>
    <w:p w:rsidR="00000000" w:rsidRPr="00F17F7A" w:rsidP="00785434">
      <w:pPr>
        <w:pStyle w:val="BodyText"/>
      </w:pPr>
      <w:r w:rsidRPr="00F17F7A">
        <w:t>This unit of competency describes the skills and k</w:t>
      </w:r>
      <w:r w:rsidRPr="00F17F7A">
        <w:t>nowledge required to operate seed processing machinery and equipment to clean, grade, and prepare grains and seeds for planting or further pre-planting treatments.</w:t>
      </w:r>
    </w:p>
    <w:p w:rsidR="00000000" w:rsidRPr="00F17F7A" w:rsidP="00785434">
      <w:pPr>
        <w:pStyle w:val="BodyText"/>
      </w:pPr>
      <w:r w:rsidRPr="00F17F7A">
        <w:t>The unit applies to individuals who take responsibility for their own work and for the quali</w:t>
      </w:r>
      <w:r w:rsidRPr="00F17F7A">
        <w:t>ty of the work of others. They use discretion and judgement in the selection, allocation and use of available resources. All work is carried out to comply with workplace procedures.</w:t>
      </w:r>
    </w:p>
    <w:p w:rsidR="00000000" w:rsidRPr="00F17F7A" w:rsidP="00785434">
      <w:pPr>
        <w:pStyle w:val="BodyText"/>
      </w:pPr>
      <w:r w:rsidRPr="00F17F7A">
        <w:t>No licensing, legislative or certification requirements apply to this unit</w:t>
      </w:r>
      <w:r w:rsidRPr="00F17F7A">
        <w:t xml:space="preserve"> at the time of publication. </w:t>
      </w:r>
    </w:p>
    <w:p w:rsidR="00000000" w:rsidRPr="00F17F7A" w:rsidP="00F17F7A">
      <w:pPr>
        <w:pStyle w:val="Heading1"/>
      </w:pPr>
      <w:bookmarkStart w:id="3" w:name="O_1214299"/>
      <w:bookmarkEnd w:id="3"/>
      <w:r w:rsidRPr="00F17F7A">
        <w:t>Pre-requisite Unit</w:t>
      </w:r>
    </w:p>
    <w:p w:rsidR="00000000" w:rsidRPr="00F17F7A" w:rsidP="00785434">
      <w:pPr>
        <w:pStyle w:val="BodyText"/>
      </w:pPr>
      <w:r w:rsidRPr="00F17F7A">
        <w:t>Nil</w:t>
      </w:r>
    </w:p>
    <w:p w:rsidR="00000000" w:rsidRPr="00F17F7A" w:rsidP="00F17F7A">
      <w:pPr>
        <w:pStyle w:val="Heading1"/>
      </w:pPr>
      <w:bookmarkStart w:id="4" w:name="O_1214301"/>
      <w:bookmarkEnd w:id="4"/>
      <w:r w:rsidRPr="00F17F7A">
        <w:t>Unit Sector</w:t>
      </w:r>
    </w:p>
    <w:p w:rsidR="00000000" w:rsidRPr="00F17F7A" w:rsidP="00785434">
      <w:pPr>
        <w:pStyle w:val="BodyText"/>
      </w:pPr>
      <w:r w:rsidRPr="00F17F7A">
        <w:t>Seed Processing (SPO)</w:t>
      </w:r>
    </w:p>
    <w:p w:rsidR="00000000" w:rsidRPr="00F17F7A" w:rsidP="00F17F7A">
      <w:pPr>
        <w:pStyle w:val="Heading1"/>
      </w:pPr>
      <w:bookmarkStart w:id="5" w:name="O_1214302"/>
      <w:bookmarkEnd w:id="5"/>
      <w:r w:rsidRPr="00F17F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Performance Criteria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1. Select and prepare for processing of planting seeds and grains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1.1 Determine seed type, location and volume for processing from work plan and storage schedu</w:t>
            </w:r>
            <w:r w:rsidRPr="00F17F7A">
              <w:t>le</w:t>
            </w:r>
          </w:p>
          <w:p w:rsidR="00000000" w:rsidRPr="00F17F7A" w:rsidP="00F17F7A">
            <w:pPr>
              <w:pStyle w:val="BodyText"/>
            </w:pPr>
            <w:r w:rsidRPr="00F17F7A">
              <w:t>1.2 Confirm seed processing requirements and specifications from work plan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1.3 Confirm transfer and storage requirements of pre and post seed </w:t>
            </w:r>
            <w:r w:rsidRPr="00F17F7A">
              <w:t>processing according to work plan and seed storage schedule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2. Select and prepare seed processing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2.1 Select, check and use personal protective equipment (PPE) according to workplace health and safety procedures</w:t>
            </w:r>
          </w:p>
          <w:p w:rsidR="00000000" w:rsidRPr="00F17F7A" w:rsidP="00F17F7A">
            <w:pPr>
              <w:pStyle w:val="BodyText"/>
            </w:pPr>
            <w:r w:rsidRPr="00F17F7A">
              <w:t>2.2 Select seed processing machinery and equipment according to work plan</w:t>
            </w:r>
          </w:p>
          <w:p w:rsidR="00000000" w:rsidRPr="00F17F7A" w:rsidP="00F17F7A">
            <w:pPr>
              <w:pStyle w:val="BodyText"/>
            </w:pPr>
            <w:r w:rsidRPr="00F17F7A">
              <w:t>2.3 Pr</w:t>
            </w:r>
            <w:r w:rsidRPr="00F17F7A">
              <w:t>epare seed processing machinery and equipment according to work plan</w:t>
            </w:r>
          </w:p>
          <w:p w:rsidR="00000000" w:rsidRPr="00F17F7A" w:rsidP="00F17F7A">
            <w:pPr>
              <w:pStyle w:val="BodyText"/>
            </w:pPr>
            <w:r w:rsidRPr="00F17F7A">
              <w:t>2.4 Conduct pre-operational checks of machine according to manufacturer specifications, workplace requirements and biosecurity procedures</w:t>
            </w:r>
          </w:p>
          <w:p w:rsidR="00000000" w:rsidRPr="00F17F7A" w:rsidP="00F17F7A">
            <w:pPr>
              <w:pStyle w:val="BodyText"/>
            </w:pPr>
            <w:r w:rsidRPr="00F17F7A">
              <w:t>2.5 Identify work health and safety hazards, asse</w:t>
            </w:r>
            <w:r w:rsidRPr="00F17F7A">
              <w:t>ss risk and implement controls</w:t>
            </w:r>
          </w:p>
          <w:p w:rsidR="00000000" w:rsidRPr="00F17F7A" w:rsidP="00F17F7A">
            <w:pPr>
              <w:pStyle w:val="BodyText"/>
            </w:pPr>
            <w:r w:rsidRPr="00F17F7A">
              <w:t>2.6 Calibrate and adjust settings of machinery and equipment to comply with seed processing specifications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2.7 Perform a sample seed run to confirm settings and seed processing performance against specifications according to </w:t>
            </w:r>
            <w:r w:rsidRPr="00F17F7A">
              <w:t>workplace procedures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3. Operate seed processing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3.1 Transfer seeds for processing to storage bins and hoppers according to work plan, operator requirements and seed storage schedule</w:t>
            </w:r>
          </w:p>
          <w:p w:rsidR="00000000" w:rsidRPr="00F17F7A" w:rsidP="00F17F7A">
            <w:pPr>
              <w:pStyle w:val="BodyText"/>
            </w:pPr>
            <w:r w:rsidRPr="00F17F7A">
              <w:t>3.2 Use seed processing machinery and equipment s</w:t>
            </w:r>
            <w:r w:rsidRPr="00F17F7A">
              <w:t>afely according to manufacturer operating procedures</w:t>
            </w:r>
          </w:p>
          <w:p w:rsidR="00000000" w:rsidRPr="00F17F7A" w:rsidP="00F17F7A">
            <w:pPr>
              <w:pStyle w:val="BodyText"/>
            </w:pPr>
            <w:r w:rsidRPr="00F17F7A">
              <w:t>3.3 Monitor the performance and efficiency of machinery operation and make adjustments to maintain optimum performance and safety</w:t>
            </w:r>
          </w:p>
          <w:p w:rsidR="00000000" w:rsidRPr="00F17F7A" w:rsidP="00F17F7A">
            <w:pPr>
              <w:pStyle w:val="BodyText"/>
            </w:pPr>
            <w:r w:rsidRPr="00F17F7A">
              <w:t>3.4 Sample and monitor processed seed and make adjustments to machinery t</w:t>
            </w:r>
            <w:r w:rsidRPr="00F17F7A">
              <w:t>o maintain specified quality standards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3.5 Monitor input and output seed storage capacities and implement mitigation procedures to maintain safe and efficient seed storage levels according to workplace procedures and storage schedule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4. Complete seed proc</w:t>
            </w:r>
            <w:r w:rsidRPr="00F17F7A">
              <w:t>essing machinery and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4.1 Implement seed processing machinery shut-down procedures according to manufacturer specifications and workplace requirements</w:t>
            </w:r>
          </w:p>
          <w:p w:rsidR="00000000" w:rsidRPr="00F17F7A" w:rsidP="00F17F7A">
            <w:pPr>
              <w:pStyle w:val="BodyText"/>
            </w:pPr>
            <w:r w:rsidRPr="00F17F7A">
              <w:t>4.2 Implement operator level maintenance procedures for seed treatment machinery and e</w:t>
            </w:r>
            <w:r w:rsidRPr="00F17F7A">
              <w:t xml:space="preserve">quipment according to workplace and manufacturer specifications </w:t>
            </w:r>
          </w:p>
          <w:p w:rsidR="00000000" w:rsidRPr="00F17F7A" w:rsidP="00F17F7A">
            <w:pPr>
              <w:pStyle w:val="BodyText"/>
            </w:pPr>
            <w:r w:rsidRPr="00F17F7A">
              <w:t xml:space="preserve">4.3 Identify and report faults and performance problems of seed processing machinery and equipment according to workplace </w:t>
            </w:r>
            <w:r w:rsidRPr="00F17F7A">
              <w:t>procedures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4.4 Clean, secure and store seed processing machinery and </w:t>
            </w:r>
            <w:r w:rsidRPr="00F17F7A">
              <w:t>equipment according to biosecurity requirements and to prevent cross contamination</w:t>
            </w:r>
          </w:p>
        </w:tc>
      </w:tr>
      <w:tr w:rsidTr="00785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5. Maintain records and reporting for processed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5.1 Update records of processed seeds and grains according to workplace procedures</w:t>
            </w:r>
          </w:p>
          <w:p w:rsidR="00000000" w:rsidRPr="00F17F7A" w:rsidP="00F17F7A">
            <w:pPr>
              <w:pStyle w:val="BodyText"/>
            </w:pPr>
            <w:r w:rsidRPr="00F17F7A">
              <w:t>5.2 Update records of seed storage according to storage schedule and workplace procedures</w:t>
            </w:r>
          </w:p>
          <w:p w:rsidR="00000000" w:rsidRPr="00F17F7A" w:rsidP="00F17F7A">
            <w:pPr>
              <w:pStyle w:val="BodyText"/>
            </w:pPr>
            <w:r w:rsidRPr="00F17F7A">
              <w:t>5.3 Identify and report seed processing and machinery irregularities according to workplace procedures</w:t>
            </w:r>
          </w:p>
        </w:tc>
      </w:tr>
    </w:tbl>
    <w:p w:rsidR="00000000" w:rsidRPr="00F17F7A" w:rsidP="00F17F7A">
      <w:pPr>
        <w:pStyle w:val="BodyText"/>
      </w:pPr>
    </w:p>
    <w:p w:rsidR="00000000" w:rsidRPr="00F17F7A" w:rsidP="00F17F7A">
      <w:pPr>
        <w:pStyle w:val="AllowPageBreak"/>
      </w:pPr>
    </w:p>
    <w:p w:rsidR="00000000" w:rsidRPr="00F17F7A" w:rsidP="00F17F7A">
      <w:pPr>
        <w:pStyle w:val="Heading1"/>
      </w:pPr>
      <w:bookmarkStart w:id="6" w:name="O_1214303"/>
      <w:bookmarkEnd w:id="6"/>
      <w:r w:rsidRPr="00F17F7A">
        <w:t>Foundation Skills</w:t>
      </w:r>
    </w:p>
    <w:p w:rsidR="00000000" w:rsidRPr="00785434" w:rsidP="00785434">
      <w:pPr>
        <w:pStyle w:val="BodyText"/>
        <w:rPr>
          <w:i/>
        </w:rPr>
      </w:pPr>
      <w:r w:rsidRPr="00785434">
        <w:rPr>
          <w:rStyle w:val="Emphasis"/>
        </w:rPr>
        <w:t>This section describes t</w:t>
      </w:r>
      <w:r w:rsidRPr="00785434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Description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ListBullet"/>
              <w:rPr>
                <w:lang w:val="en-NZ"/>
              </w:rPr>
            </w:pPr>
            <w:r w:rsidRPr="00F17F7A">
              <w:t>Interpret work plans, seed processing quality specifications</w:t>
            </w:r>
            <w:r w:rsidRPr="00F17F7A">
              <w:t>, seed processing equipment manufacturer specifications and operator instruction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ListBullet"/>
              <w:rPr>
                <w:lang w:val="en-NZ"/>
              </w:rPr>
            </w:pPr>
            <w:r w:rsidRPr="00F17F7A">
              <w:t>Use industry language and concepts, and tone and pace appropriate for reporting to supervisor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ListBullet"/>
            </w:pPr>
            <w:r w:rsidRPr="00F17F7A">
              <w:t>Adjust and calibrate seed processing machinery and equipment</w:t>
            </w:r>
          </w:p>
        </w:tc>
      </w:tr>
    </w:tbl>
    <w:p w:rsidR="00000000" w:rsidRPr="00F17F7A" w:rsidP="00F17F7A">
      <w:pPr>
        <w:pStyle w:val="BodyText"/>
      </w:pPr>
    </w:p>
    <w:p w:rsidR="00000000" w:rsidRPr="00F17F7A" w:rsidP="00F17F7A">
      <w:pPr>
        <w:pStyle w:val="AllowPageBreak"/>
      </w:pPr>
    </w:p>
    <w:p w:rsidR="00000000" w:rsidRPr="00F17F7A" w:rsidP="00F17F7A">
      <w:pPr>
        <w:pStyle w:val="Heading1"/>
      </w:pPr>
      <w:bookmarkStart w:id="7" w:name="O_1214305"/>
      <w:bookmarkEnd w:id="7"/>
      <w:r w:rsidRPr="00F17F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Bold"/>
              <w:rPr>
                <w:lang w:val="en-NZ"/>
              </w:rPr>
            </w:pPr>
            <w:r w:rsidRPr="00F17F7A">
              <w:t>Equivalence status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unit supersedes the following units:</w:t>
            </w:r>
          </w:p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 w:rsidRPr="00F17F7A" w:rsidP="00F17F7A">
            <w:pPr>
              <w:pStyle w:val="BodyText"/>
            </w:pPr>
            <w:r w:rsidRPr="00F17F7A">
              <w:t>AHCSPO302 Operate an indent cylinder</w:t>
            </w:r>
          </w:p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 w:rsidRPr="00F17F7A" w:rsidP="00F17F7A">
            <w:pPr>
              <w:pStyle w:val="BodyText"/>
            </w:pPr>
            <w:r w:rsidRPr="00F17F7A">
              <w:t>AHCSPO304 Operate seed modificat</w:t>
            </w:r>
            <w:r w:rsidRPr="00F17F7A">
              <w:t>ion machinery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Not equivalent 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AHCSPO302 Operate an indent cylinder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unit supersedes the following units:</w:t>
            </w:r>
          </w:p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 w:rsidRPr="00F17F7A" w:rsidP="00F17F7A">
            <w:pPr>
              <w:pStyle w:val="BodyText"/>
            </w:pPr>
            <w:r w:rsidRPr="00F17F7A">
              <w:t>AH</w:t>
            </w:r>
            <w:r w:rsidRPr="00F17F7A">
              <w:t>CSPO302 Operate an indent cylinder</w:t>
            </w:r>
          </w:p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 w:rsidRPr="00F17F7A" w:rsidP="00F17F7A">
            <w:pPr>
              <w:pStyle w:val="BodyText"/>
            </w:pPr>
            <w:r w:rsidRPr="00F17F7A">
              <w:t>AHCSPO304 Operate seed modification machinery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Not equivalent 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unit supersedes the following units:</w:t>
            </w:r>
          </w:p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 w:rsidRPr="00F17F7A" w:rsidP="00F17F7A">
            <w:pPr>
              <w:pStyle w:val="BodyText"/>
            </w:pPr>
            <w:r w:rsidRPr="00F17F7A">
              <w:t>AHCSPO302 Operate an indent cylinder</w:t>
            </w:r>
          </w:p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 w:rsidRPr="00F17F7A" w:rsidP="00F17F7A">
            <w:pPr>
              <w:pStyle w:val="BodyText"/>
            </w:pPr>
            <w:r w:rsidRPr="00F17F7A">
              <w:t>AHCSPO304 Operate seed modification machinery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</w:t>
            </w:r>
            <w:r w:rsidRPr="00F17F7A">
              <w:t>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Not equivalent 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AHCSPO304 Operate seed modification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unit supersedes the following units:</w:t>
            </w:r>
          </w:p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 w:rsidRPr="00F17F7A" w:rsidP="00F17F7A">
            <w:pPr>
              <w:pStyle w:val="BodyText"/>
            </w:pPr>
            <w:r w:rsidRPr="00F17F7A">
              <w:t>AHCSPO302 Operate an indent cylinder</w:t>
            </w:r>
          </w:p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 w:rsidRPr="00F17F7A" w:rsidP="00F17F7A">
            <w:pPr>
              <w:pStyle w:val="BodyText"/>
            </w:pPr>
            <w:r w:rsidRPr="00F17F7A">
              <w:t>AHCSPO304 Operate seed modification machinery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 xml:space="preserve">Not equivalent </w:t>
            </w:r>
          </w:p>
        </w:tc>
      </w:tr>
      <w:tr w:rsidTr="00F17F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AHCSPO309 Process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processing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This unit super</w:t>
            </w:r>
            <w:r w:rsidRPr="00F17F7A">
              <w:t>sedes the following units:</w:t>
            </w:r>
          </w:p>
          <w:p w:rsidR="00000000" w:rsidRPr="00F17F7A" w:rsidP="00F17F7A">
            <w:pPr>
              <w:pStyle w:val="BodyText"/>
            </w:pPr>
            <w:r w:rsidRPr="00F17F7A">
              <w:t>AHCSPO301 Operate a screen cleaner for seed processing</w:t>
            </w:r>
          </w:p>
          <w:p w:rsidR="00000000" w:rsidRPr="00F17F7A" w:rsidP="00F17F7A">
            <w:pPr>
              <w:pStyle w:val="BodyText"/>
            </w:pPr>
            <w:r w:rsidRPr="00F17F7A">
              <w:t>AHCSPO302 Operate an indent cylinder</w:t>
            </w:r>
          </w:p>
          <w:p w:rsidR="00000000" w:rsidRPr="00F17F7A" w:rsidP="00F17F7A">
            <w:pPr>
              <w:pStyle w:val="BodyText"/>
            </w:pPr>
            <w:r w:rsidRPr="00F17F7A">
              <w:t>AHCSPO303 Operate a gravity table</w:t>
            </w:r>
          </w:p>
          <w:p w:rsidR="00000000" w:rsidRPr="00F17F7A" w:rsidP="00F17F7A">
            <w:pPr>
              <w:pStyle w:val="BodyText"/>
            </w:pPr>
            <w:r w:rsidRPr="00F17F7A">
              <w:t>AHCSPO304 Operate seed modification machinery</w:t>
            </w:r>
          </w:p>
          <w:p w:rsidR="00000000" w:rsidP="00F17F7A">
            <w:pPr>
              <w:pStyle w:val="BodyText"/>
              <w:rPr>
                <w:lang w:val="en-NZ"/>
              </w:rPr>
            </w:pPr>
            <w:r w:rsidRPr="00F17F7A">
              <w:t>AHCSPO306 Operate specialised seed processing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7A" w:rsidP="00F17F7A">
            <w:pPr>
              <w:pStyle w:val="BodyText"/>
            </w:pPr>
            <w:r w:rsidRPr="00F17F7A">
              <w:t>N</w:t>
            </w:r>
            <w:r w:rsidRPr="00F17F7A">
              <w:t xml:space="preserve">ot equivalent </w:t>
            </w:r>
          </w:p>
        </w:tc>
      </w:tr>
    </w:tbl>
    <w:p w:rsidR="00000000" w:rsidRPr="00F17F7A" w:rsidP="00F17F7A">
      <w:pPr>
        <w:pStyle w:val="BodyText"/>
      </w:pPr>
    </w:p>
    <w:p w:rsidR="00000000" w:rsidRPr="00F17F7A" w:rsidP="00F17F7A">
      <w:pPr>
        <w:pStyle w:val="AllowPageBreak"/>
      </w:pPr>
    </w:p>
    <w:p w:rsidR="00000000" w:rsidRPr="00F17F7A" w:rsidP="00F17F7A">
      <w:pPr>
        <w:pStyle w:val="Heading1"/>
      </w:pPr>
      <w:bookmarkStart w:id="8" w:name="O_1214312"/>
      <w:bookmarkEnd w:id="8"/>
      <w:r w:rsidRPr="00F17F7A">
        <w:t>Links</w:t>
      </w:r>
    </w:p>
    <w:p w:rsidR="00000000" w:rsidRPr="00F17F7A" w:rsidP="00785434">
      <w:pPr>
        <w:pStyle w:val="BodyText"/>
      </w:pPr>
      <w:r w:rsidRPr="00F17F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7E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7F7A" w:rsidP="00F17F7A"/>
    <w:sectPr w:rsidSect="00F17F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A" w:rsidRPr="00785434" w:rsidP="00785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4" w:rsidP="00F17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434" w:rsidP="00F17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5434" w:rsidP="00F17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F7A" w:rsidRPr="00785434" w:rsidP="00785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4" w:rsidRPr="002D2AF8" w:rsidP="00F17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AHCSPO309 Process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5434" w:rsidP="00F17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4D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A6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F7A"/>
  </w:style>
  <w:style w:type="character" w:customStyle="1" w:styleId="Heading1Char">
    <w:name w:val="Heading 1 Char"/>
    <w:basedOn w:val="DefaultParagraphFont"/>
    <w:link w:val="Heading1"/>
    <w:rsid w:val="00F17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F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7F7A"/>
    <w:rPr>
      <w:i/>
    </w:rPr>
  </w:style>
  <w:style w:type="paragraph" w:customStyle="1" w:styleId="SuperHeading">
    <w:name w:val="SuperHeading"/>
    <w:basedOn w:val="Normal"/>
    <w:rsid w:val="00F17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7F7A"/>
    <w:rPr>
      <w:b/>
    </w:rPr>
  </w:style>
  <w:style w:type="character" w:customStyle="1" w:styleId="Heading2Char">
    <w:name w:val="Heading 2 Char"/>
    <w:basedOn w:val="DefaultParagraphFont"/>
    <w:link w:val="Heading2"/>
    <w:rsid w:val="00F17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F7A"/>
    <w:rPr>
      <w:b/>
      <w:spacing w:val="0"/>
    </w:rPr>
  </w:style>
  <w:style w:type="paragraph" w:customStyle="1" w:styleId="SuperTitle">
    <w:name w:val="SuperTitle"/>
    <w:basedOn w:val="Title"/>
    <w:rsid w:val="00F17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F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F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F7A"/>
  </w:style>
  <w:style w:type="paragraph" w:styleId="TableofFigures">
    <w:name w:val="table of figures"/>
    <w:basedOn w:val="Normal"/>
    <w:next w:val="Normal"/>
    <w:semiHidden/>
    <w:rsid w:val="00F17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F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F7A"/>
    <w:rPr>
      <w:rFonts w:ascii="Wingdings" w:hAnsi="Wingdings"/>
    </w:rPr>
  </w:style>
  <w:style w:type="paragraph" w:customStyle="1" w:styleId="TableHeading">
    <w:name w:val="Table Heading"/>
    <w:basedOn w:val="HeadingBase"/>
    <w:rsid w:val="00F17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F7A"/>
    <w:rPr>
      <w:color w:val="0033CC"/>
      <w:u w:val="none"/>
    </w:rPr>
  </w:style>
  <w:style w:type="paragraph" w:customStyle="1" w:styleId="BodyTextRight">
    <w:name w:val="Body Text Right"/>
    <w:basedOn w:val="BodyText"/>
    <w:rsid w:val="00F17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F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F7A"/>
    <w:rPr>
      <w:sz w:val="32"/>
    </w:rPr>
  </w:style>
  <w:style w:type="paragraph" w:customStyle="1" w:styleId="HeadingProcedure">
    <w:name w:val="Heading Procedure"/>
    <w:basedOn w:val="HeadingBase"/>
    <w:next w:val="Normal"/>
    <w:rsid w:val="00F17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F7A"/>
    <w:pPr>
      <w:spacing w:before="60" w:after="60"/>
    </w:pPr>
  </w:style>
  <w:style w:type="paragraph" w:styleId="ListContinue">
    <w:name w:val="List Continue"/>
    <w:basedOn w:val="List"/>
    <w:rsid w:val="00F17F7A"/>
    <w:pPr>
      <w:ind w:firstLine="0"/>
    </w:pPr>
  </w:style>
  <w:style w:type="paragraph" w:customStyle="1" w:styleId="ListNote">
    <w:name w:val="List Note"/>
    <w:basedOn w:val="List"/>
    <w:rsid w:val="00F17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F7A"/>
    <w:rPr>
      <w:rFonts w:ascii="Courier New" w:hAnsi="Courier New"/>
    </w:rPr>
  </w:style>
  <w:style w:type="paragraph" w:customStyle="1" w:styleId="NoteBullet">
    <w:name w:val="Note Bullet"/>
    <w:basedOn w:val="Note"/>
    <w:rsid w:val="00F17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F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F7A"/>
    <w:rPr>
      <w:b/>
      <w:smallCaps/>
    </w:rPr>
  </w:style>
  <w:style w:type="paragraph" w:customStyle="1" w:styleId="TableListNumber">
    <w:name w:val="Table List Number"/>
    <w:basedOn w:val="ListNumber"/>
    <w:rsid w:val="00F17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F7A"/>
    <w:pPr>
      <w:numPr>
        <w:numId w:val="8"/>
      </w:numPr>
    </w:pPr>
  </w:style>
  <w:style w:type="paragraph" w:customStyle="1" w:styleId="ListAlpha2">
    <w:name w:val="List Alpha 2"/>
    <w:basedOn w:val="List2"/>
    <w:rsid w:val="00F17F7A"/>
    <w:pPr>
      <w:numPr>
        <w:numId w:val="7"/>
      </w:numPr>
    </w:pPr>
  </w:style>
  <w:style w:type="paragraph" w:styleId="List2">
    <w:name w:val="List 2"/>
    <w:basedOn w:val="BodyText"/>
    <w:rsid w:val="00F17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F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F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F7A"/>
    <w:pPr>
      <w:numPr>
        <w:numId w:val="3"/>
      </w:numPr>
    </w:pPr>
  </w:style>
  <w:style w:type="paragraph" w:styleId="ListContinue2">
    <w:name w:val="List Continue 2"/>
    <w:basedOn w:val="List2"/>
    <w:rsid w:val="00F17F7A"/>
    <w:pPr>
      <w:ind w:firstLine="0"/>
    </w:pPr>
  </w:style>
  <w:style w:type="paragraph" w:styleId="ListContinue3">
    <w:name w:val="List Continue 3"/>
    <w:basedOn w:val="List3"/>
    <w:rsid w:val="00F17F7A"/>
    <w:pPr>
      <w:ind w:left="1021" w:firstLine="0"/>
    </w:pPr>
  </w:style>
  <w:style w:type="paragraph" w:styleId="ListContinue4">
    <w:name w:val="List Continue 4"/>
    <w:basedOn w:val="List4"/>
    <w:rsid w:val="00F17F7A"/>
    <w:pPr>
      <w:ind w:firstLine="0"/>
    </w:pPr>
  </w:style>
  <w:style w:type="paragraph" w:styleId="ListContinue5">
    <w:name w:val="List Continue 5"/>
    <w:basedOn w:val="List5"/>
    <w:rsid w:val="00F17F7A"/>
    <w:pPr>
      <w:ind w:firstLine="0"/>
    </w:pPr>
  </w:style>
  <w:style w:type="paragraph" w:styleId="ListNumber3">
    <w:name w:val="List Number 3"/>
    <w:basedOn w:val="List3"/>
    <w:rsid w:val="00F17F7A"/>
    <w:pPr>
      <w:numPr>
        <w:numId w:val="4"/>
      </w:numPr>
    </w:pPr>
  </w:style>
  <w:style w:type="paragraph" w:styleId="ListNumber4">
    <w:name w:val="List Number 4"/>
    <w:basedOn w:val="List4"/>
    <w:rsid w:val="00F17F7A"/>
    <w:pPr>
      <w:numPr>
        <w:numId w:val="5"/>
      </w:numPr>
    </w:pPr>
  </w:style>
  <w:style w:type="paragraph" w:styleId="ListNumber5">
    <w:name w:val="List Number 5"/>
    <w:basedOn w:val="List5"/>
    <w:rsid w:val="00F17F7A"/>
    <w:pPr>
      <w:numPr>
        <w:numId w:val="6"/>
      </w:numPr>
    </w:pPr>
  </w:style>
  <w:style w:type="paragraph" w:styleId="BlockText">
    <w:name w:val="Block Text"/>
    <w:basedOn w:val="Normal"/>
    <w:rsid w:val="00F17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F7A"/>
    <w:rPr>
      <w:sz w:val="16"/>
      <w:vertAlign w:val="superscript"/>
    </w:rPr>
  </w:style>
  <w:style w:type="character" w:customStyle="1" w:styleId="Symbols">
    <w:name w:val="Symbols"/>
    <w:basedOn w:val="DefaultParagraphFont"/>
    <w:rsid w:val="00F17F7A"/>
    <w:rPr>
      <w:rFonts w:ascii="Symbol" w:hAnsi="Symbol"/>
    </w:rPr>
  </w:style>
  <w:style w:type="character" w:customStyle="1" w:styleId="MenuOptions">
    <w:name w:val="Menu Options"/>
    <w:basedOn w:val="DefaultParagraphFont"/>
    <w:rsid w:val="00F17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F7A"/>
    <w:rPr>
      <w:b/>
    </w:rPr>
  </w:style>
  <w:style w:type="character" w:customStyle="1" w:styleId="Underlined">
    <w:name w:val="Underlined"/>
    <w:basedOn w:val="DefaultParagraphFont"/>
    <w:rsid w:val="00F17F7A"/>
    <w:rPr>
      <w:u w:val="single"/>
    </w:rPr>
  </w:style>
  <w:style w:type="paragraph" w:customStyle="1" w:styleId="TableBodyTextRight">
    <w:name w:val="Table Body Text Right"/>
    <w:basedOn w:val="TableBodyText"/>
    <w:rsid w:val="00F17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F7A"/>
    <w:rPr>
      <w:sz w:val="18"/>
    </w:rPr>
  </w:style>
  <w:style w:type="paragraph" w:customStyle="1" w:styleId="BodySmallRight">
    <w:name w:val="Body Small Right"/>
    <w:basedOn w:val="BodyTextRight"/>
    <w:rsid w:val="00F17F7A"/>
    <w:rPr>
      <w:sz w:val="18"/>
      <w:szCs w:val="18"/>
    </w:rPr>
  </w:style>
  <w:style w:type="paragraph" w:customStyle="1" w:styleId="MarginEdition">
    <w:name w:val="Margin Edition"/>
    <w:basedOn w:val="MarginNote"/>
    <w:rsid w:val="00F17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F7A"/>
    <w:rPr>
      <w:sz w:val="2"/>
      <w:szCs w:val="2"/>
    </w:rPr>
  </w:style>
  <w:style w:type="character" w:customStyle="1" w:styleId="Small">
    <w:name w:val="Small"/>
    <w:basedOn w:val="DefaultParagraphFont"/>
    <w:rsid w:val="00F17F7A"/>
    <w:rPr>
      <w:sz w:val="16"/>
    </w:rPr>
  </w:style>
  <w:style w:type="paragraph" w:customStyle="1" w:styleId="WideTable">
    <w:name w:val="Wide Table"/>
    <w:basedOn w:val="Normal"/>
    <w:rsid w:val="00F17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F7A"/>
  </w:style>
  <w:style w:type="paragraph" w:styleId="Quote">
    <w:name w:val="Quote"/>
    <w:basedOn w:val="Heading1"/>
    <w:link w:val="QuoteChar"/>
    <w:qFormat/>
    <w:rsid w:val="00F17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F7A"/>
    <w:pPr>
      <w:pageBreakBefore/>
    </w:pPr>
  </w:style>
  <w:style w:type="paragraph" w:customStyle="1" w:styleId="Border">
    <w:name w:val="Border"/>
    <w:basedOn w:val="Normal"/>
    <w:qFormat/>
    <w:rsid w:val="00F17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F7A"/>
    <w:rPr>
      <w:u w:val="single"/>
    </w:rPr>
  </w:style>
  <w:style w:type="character" w:customStyle="1" w:styleId="BoldandItalics">
    <w:name w:val="Bold and Italics"/>
    <w:qFormat/>
    <w:rsid w:val="00F17F7A"/>
    <w:rPr>
      <w:b/>
      <w:i/>
      <w:u w:val="none"/>
    </w:rPr>
  </w:style>
  <w:style w:type="paragraph" w:styleId="BalloonText">
    <w:name w:val="Balloon Text"/>
    <w:basedOn w:val="Normal"/>
    <w:link w:val="BalloonTextChar"/>
    <w:rsid w:val="00F17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F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5891</Characters>
  <Application>Microsoft Office Word</Application>
  <DocSecurity>0</DocSecurity>
  <Lines>256</Lines>
  <Paragraphs>130</Paragraphs>
  <ScaleCrop>false</ScaleCrop>
  <Company>Author-it Software Corporation Ltd.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AHCSPO309 Process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