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917" w:rsidP="00D44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AHCSOL405 Provide information on fertilisers and soil ameliorants</w:t>
      </w:r>
      <w:r>
        <w:fldChar w:fldCharType="end"/>
      </w:r>
    </w:p>
    <w:p w:rsidR="00D44917" w:rsidP="00D44917">
      <w:pPr>
        <w:pStyle w:val="Version"/>
        <w:sectPr w:rsidSect="003B2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910" w:rsidP="003B2910">
      <w:pPr>
        <w:pStyle w:val="SuperHeading"/>
      </w:pPr>
      <w:r w:rsidRPr="003B2910">
        <w:t>Assessment Requirements for AHCSOL405 Provide information on fertilisers and soil ameliorants</w:t>
      </w:r>
    </w:p>
    <w:p w:rsidR="00000000" w:rsidRPr="003B2910" w:rsidP="003B2910">
      <w:pPr>
        <w:pStyle w:val="Heading1"/>
      </w:pPr>
      <w:bookmarkStart w:id="1" w:name="O_1155230"/>
      <w:bookmarkEnd w:id="1"/>
      <w:r w:rsidRPr="003B29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10">
            <w:pPr>
              <w:pStyle w:val="BodyTextBold"/>
              <w:rPr>
                <w:lang w:val="en-NZ"/>
              </w:rPr>
            </w:pPr>
            <w:r w:rsidRPr="003B29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10">
            <w:pPr>
              <w:pStyle w:val="BodyTextBold"/>
              <w:rPr>
                <w:lang w:val="en-NZ"/>
              </w:rPr>
            </w:pPr>
            <w:r w:rsidRPr="003B2910">
              <w:t>Comments</w:t>
            </w:r>
          </w:p>
        </w:tc>
      </w:tr>
      <w:tr w:rsidTr="003B29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10">
            <w:pPr>
              <w:pStyle w:val="BodyText"/>
              <w:rPr>
                <w:lang w:val="en-NZ"/>
              </w:rPr>
            </w:pPr>
            <w:r w:rsidRPr="003B29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10" w:rsidP="003B2910">
            <w:pPr>
              <w:pStyle w:val="BodyText"/>
            </w:pPr>
            <w:r w:rsidRPr="003B2910">
              <w:t>This version released with AHC Agriculture, Horticulture and Conservation and Land Management Training Package Version 6.0.</w:t>
            </w:r>
          </w:p>
        </w:tc>
      </w:tr>
    </w:tbl>
    <w:p w:rsidR="00000000" w:rsidRPr="003B2910" w:rsidP="003B2910">
      <w:pPr>
        <w:pStyle w:val="BodyText"/>
      </w:pPr>
    </w:p>
    <w:p w:rsidR="00000000" w:rsidRPr="003B2910" w:rsidP="003B2910">
      <w:pPr>
        <w:pStyle w:val="AllowPageBreak"/>
      </w:pPr>
    </w:p>
    <w:p w:rsidR="00000000" w:rsidRPr="003B2910" w:rsidP="003B2910">
      <w:pPr>
        <w:pStyle w:val="Heading1"/>
      </w:pPr>
      <w:bookmarkStart w:id="2" w:name="O_1155231"/>
      <w:bookmarkEnd w:id="2"/>
      <w:r w:rsidRPr="003B2910">
        <w:t>Performance Evidence</w:t>
      </w:r>
    </w:p>
    <w:p w:rsidR="00000000" w:rsidRPr="003B2910" w:rsidP="00D44917">
      <w:pPr>
        <w:pStyle w:val="BodyText"/>
      </w:pPr>
      <w:r w:rsidRPr="003B2910">
        <w:t>An individual demonstrating competency must satisfy all of the elements and performance cr</w:t>
      </w:r>
      <w:r w:rsidRPr="003B2910">
        <w:t xml:space="preserve">iteria in this unit. </w:t>
      </w:r>
    </w:p>
    <w:p w:rsidR="00000000" w:rsidRPr="003B2910" w:rsidP="00D44917">
      <w:pPr>
        <w:pStyle w:val="BodyText"/>
      </w:pPr>
      <w:r w:rsidRPr="003B2910">
        <w:t>There must be evidence that the individual has provided information on fertilisers and soil ameliorants on at least three occasions, and has:</w:t>
      </w:r>
    </w:p>
    <w:p w:rsidR="00000000" w:rsidRPr="003B2910" w:rsidP="003B2910">
      <w:pPr>
        <w:pStyle w:val="ListBullet"/>
      </w:pPr>
      <w:r w:rsidRPr="003B2910">
        <w:t xml:space="preserve">considered the following when providing information: </w:t>
      </w:r>
    </w:p>
    <w:p w:rsidR="00000000" w:rsidRPr="003B2910" w:rsidP="003B2910">
      <w:pPr>
        <w:pStyle w:val="ListBullet2"/>
      </w:pPr>
      <w:r w:rsidRPr="003B2910">
        <w:t>applicable workplace health and safety procedures</w:t>
      </w:r>
    </w:p>
    <w:p w:rsidR="00000000" w:rsidRPr="003B2910" w:rsidP="003B2910">
      <w:pPr>
        <w:pStyle w:val="ListBullet2"/>
      </w:pPr>
      <w:r w:rsidRPr="003B2910">
        <w:t>manufacturer requirements</w:t>
      </w:r>
    </w:p>
    <w:p w:rsidR="00000000" w:rsidRPr="003B2910" w:rsidP="003B2910">
      <w:pPr>
        <w:pStyle w:val="ListBullet2"/>
      </w:pPr>
      <w:r w:rsidRPr="003B2910">
        <w:t>chemical safety and food safety legislation and regulations</w:t>
      </w:r>
    </w:p>
    <w:p w:rsidR="00000000" w:rsidRPr="003B2910" w:rsidP="003B2910">
      <w:pPr>
        <w:pStyle w:val="ListBullet2"/>
      </w:pPr>
      <w:r w:rsidRPr="003B2910">
        <w:t xml:space="preserve">biosecurity and environmental guidelines for using </w:t>
      </w:r>
    </w:p>
    <w:p w:rsidR="00000000" w:rsidRPr="003B2910" w:rsidP="003B2910">
      <w:pPr>
        <w:pStyle w:val="ListBullet2"/>
      </w:pPr>
      <w:r w:rsidRPr="003B2910">
        <w:t>transportation, storage and handling of fertiliser and soil ameliora</w:t>
      </w:r>
      <w:r w:rsidRPr="003B2910">
        <w:t>nts</w:t>
      </w:r>
    </w:p>
    <w:p w:rsidR="00000000" w:rsidRPr="003B2910" w:rsidP="003B2910">
      <w:pPr>
        <w:pStyle w:val="ListBullet"/>
      </w:pPr>
      <w:r w:rsidRPr="003B2910">
        <w:t>explained the use of nutrient management tools</w:t>
      </w:r>
    </w:p>
    <w:p w:rsidR="00000000" w:rsidRPr="003B2910" w:rsidP="003B2910">
      <w:pPr>
        <w:pStyle w:val="ListBullet"/>
      </w:pPr>
      <w:r w:rsidRPr="003B2910">
        <w:t>recorded details of information provided to the customer.</w:t>
      </w:r>
    </w:p>
    <w:p w:rsidR="00000000" w:rsidRPr="003B2910" w:rsidP="003B2910">
      <w:pPr>
        <w:pStyle w:val="AllowPageBreak"/>
      </w:pPr>
    </w:p>
    <w:p w:rsidR="00000000" w:rsidRPr="003B2910" w:rsidP="003B2910">
      <w:pPr>
        <w:pStyle w:val="Heading1"/>
      </w:pPr>
      <w:bookmarkStart w:id="3" w:name="O_1155232"/>
      <w:bookmarkEnd w:id="3"/>
      <w:r w:rsidRPr="003B2910">
        <w:t>Knowledge Evidence</w:t>
      </w:r>
    </w:p>
    <w:p w:rsidR="00000000" w:rsidRPr="003B2910" w:rsidP="00D44917">
      <w:pPr>
        <w:pStyle w:val="BodyText"/>
      </w:pPr>
      <w:r w:rsidRPr="003B2910">
        <w:t>An individual must be able to demonstrate the knowledge required to perform the tasks outlined in the elemen</w:t>
      </w:r>
      <w:r w:rsidRPr="003B2910">
        <w:t>ts and performance criteria of this unit. This includes knowledge of:</w:t>
      </w:r>
    </w:p>
    <w:p w:rsidR="00000000" w:rsidRPr="003B2910" w:rsidP="003B2910">
      <w:pPr>
        <w:pStyle w:val="ListBullet"/>
      </w:pPr>
      <w:r w:rsidRPr="003B2910">
        <w:t>crop nutrient requirements, including both macro and micro nutrients</w:t>
      </w:r>
    </w:p>
    <w:p w:rsidR="00000000" w:rsidRPr="003B2910" w:rsidP="003B2910">
      <w:pPr>
        <w:pStyle w:val="ListBullet"/>
      </w:pPr>
      <w:r w:rsidRPr="003B2910">
        <w:t>effect of soil ameliorants in dispersion and adjustment for acidity or alkalinity (pH)</w:t>
      </w:r>
    </w:p>
    <w:p w:rsidR="00000000" w:rsidRPr="003B2910" w:rsidP="003B2910">
      <w:pPr>
        <w:pStyle w:val="ListBullet"/>
      </w:pPr>
      <w:r w:rsidRPr="003B2910">
        <w:t>workplace</w:t>
      </w:r>
      <w:r w:rsidRPr="003B2910">
        <w:t xml:space="preserve"> health and safety procedures, manufacturer requirements, chemical safety and food safety legislation and regulations, biosecurity and environmental guidelines for using, transportation, storage and handling of fertiliser and soil ameliorants</w:t>
      </w:r>
    </w:p>
    <w:p w:rsidR="00000000" w:rsidRPr="003B2910" w:rsidP="003B2910">
      <w:pPr>
        <w:pStyle w:val="ListBullet"/>
      </w:pPr>
      <w:r w:rsidRPr="003B2910">
        <w:t>packaging and</w:t>
      </w:r>
      <w:r w:rsidRPr="003B2910">
        <w:t xml:space="preserve"> dispatch procedures for samples</w:t>
      </w:r>
    </w:p>
    <w:p w:rsidR="00000000" w:rsidRPr="003B2910" w:rsidP="003B2910">
      <w:pPr>
        <w:pStyle w:val="ListBullet"/>
      </w:pPr>
      <w:r w:rsidRPr="003B2910">
        <w:t>physical, chemical and biological properties related to a healthy soil and environment</w:t>
      </w:r>
    </w:p>
    <w:p w:rsidR="00000000" w:rsidRPr="003B2910" w:rsidP="003B2910">
      <w:pPr>
        <w:pStyle w:val="ListBullet"/>
      </w:pPr>
      <w:r w:rsidRPr="003B2910">
        <w:t>sampling tools and methods, including:</w:t>
      </w:r>
    </w:p>
    <w:p w:rsidR="00000000" w:rsidRPr="003B2910" w:rsidP="003B2910">
      <w:pPr>
        <w:pStyle w:val="ListBullet2"/>
      </w:pPr>
      <w:r w:rsidRPr="003B2910">
        <w:t>soil, plant tissue and water tests</w:t>
      </w:r>
    </w:p>
    <w:p w:rsidR="00000000" w:rsidRPr="003B2910" w:rsidP="003B2910">
      <w:pPr>
        <w:pStyle w:val="ListBullet2"/>
      </w:pPr>
      <w:r w:rsidRPr="003B2910">
        <w:t>yield monitoring</w:t>
      </w:r>
    </w:p>
    <w:p w:rsidR="00000000" w:rsidRPr="003B2910" w:rsidP="003B2910">
      <w:pPr>
        <w:pStyle w:val="ListBullet2"/>
      </w:pPr>
      <w:r w:rsidRPr="003B2910">
        <w:t>electrical conductivity survey</w:t>
      </w:r>
    </w:p>
    <w:p w:rsidR="00000000" w:rsidRPr="003B2910" w:rsidP="003B2910">
      <w:pPr>
        <w:pStyle w:val="ListBullet"/>
      </w:pPr>
      <w:r w:rsidRPr="003B2910">
        <w:t>workplace he</w:t>
      </w:r>
      <w:r w:rsidRPr="003B2910">
        <w:t>alth and safety and environmental procedures in operating sampling equipment</w:t>
      </w:r>
    </w:p>
    <w:p w:rsidR="00000000" w:rsidRPr="003B2910" w:rsidP="003B2910">
      <w:pPr>
        <w:pStyle w:val="ListBullet"/>
      </w:pPr>
      <w:r w:rsidRPr="003B2910">
        <w:t>impact of climate on soil productivity</w:t>
      </w:r>
    </w:p>
    <w:p w:rsidR="00000000" w:rsidRPr="003B2910" w:rsidP="003B2910">
      <w:pPr>
        <w:pStyle w:val="ListBullet"/>
      </w:pPr>
      <w:r w:rsidRPr="003B2910">
        <w:t>environmental impacts, including:</w:t>
      </w:r>
    </w:p>
    <w:p w:rsidR="00000000" w:rsidRPr="003B2910" w:rsidP="003B2910">
      <w:pPr>
        <w:pStyle w:val="ListBullet2"/>
      </w:pPr>
      <w:r w:rsidRPr="003B2910">
        <w:t>soil structural decline</w:t>
      </w:r>
    </w:p>
    <w:p w:rsidR="00000000" w:rsidRPr="003B2910" w:rsidP="003B2910">
      <w:pPr>
        <w:pStyle w:val="ListBullet2"/>
      </w:pPr>
      <w:r w:rsidRPr="003B2910">
        <w:t>fertility decline</w:t>
      </w:r>
    </w:p>
    <w:p w:rsidR="00000000" w:rsidRPr="003B2910" w:rsidP="003B2910">
      <w:pPr>
        <w:pStyle w:val="ListBullet2"/>
      </w:pPr>
      <w:r w:rsidRPr="003B2910">
        <w:t>acidification and salinity</w:t>
      </w:r>
    </w:p>
    <w:p w:rsidR="00000000" w:rsidRPr="003B2910" w:rsidP="003B2910">
      <w:pPr>
        <w:pStyle w:val="ListBullet2"/>
      </w:pPr>
      <w:r w:rsidRPr="003B2910">
        <w:t>erosion</w:t>
      </w:r>
    </w:p>
    <w:p w:rsidR="00000000" w:rsidRPr="003B2910" w:rsidP="003B2910">
      <w:pPr>
        <w:pStyle w:val="ListBullet2"/>
      </w:pPr>
      <w:r w:rsidRPr="003B2910">
        <w:t>loss of organic matter</w:t>
      </w:r>
    </w:p>
    <w:p w:rsidR="00000000" w:rsidRPr="003B2910" w:rsidP="003B2910">
      <w:pPr>
        <w:pStyle w:val="ListBullet2"/>
      </w:pPr>
      <w:r w:rsidRPr="003B2910">
        <w:t>water quality</w:t>
      </w:r>
    </w:p>
    <w:p w:rsidR="00000000" w:rsidRPr="003B2910" w:rsidP="003B2910">
      <w:pPr>
        <w:pStyle w:val="ListBullet2"/>
      </w:pPr>
      <w:r w:rsidRPr="003B2910">
        <w:t>fertiliser and soil ameliorant impurities</w:t>
      </w:r>
    </w:p>
    <w:p w:rsidR="00000000" w:rsidRPr="003B2910" w:rsidP="003B2910">
      <w:pPr>
        <w:pStyle w:val="ListBullet2"/>
      </w:pPr>
      <w:r w:rsidRPr="003B2910">
        <w:t>greenhouse gas emissions</w:t>
      </w:r>
    </w:p>
    <w:p w:rsidR="00000000" w:rsidRPr="003B2910" w:rsidP="003B2910">
      <w:pPr>
        <w:pStyle w:val="ListBullet"/>
      </w:pPr>
      <w:r w:rsidRPr="003B2910">
        <w:t>major nutrient management risks of leach, run-off, load, blow, and mine, and how these impact on the environment</w:t>
      </w:r>
    </w:p>
    <w:p w:rsidR="00000000" w:rsidRPr="003B2910" w:rsidP="003B2910">
      <w:pPr>
        <w:pStyle w:val="ListBullet"/>
      </w:pPr>
      <w:r w:rsidRPr="003B2910">
        <w:t>nutrient management advisory tools and processes used by advi</w:t>
      </w:r>
      <w:r w:rsidRPr="003B2910">
        <w:t>sers in making a crop nutrition recommendation</w:t>
      </w:r>
    </w:p>
    <w:p w:rsidR="00000000" w:rsidRPr="003B2910" w:rsidP="003B2910">
      <w:pPr>
        <w:pStyle w:val="ListBullet"/>
      </w:pPr>
      <w:r w:rsidRPr="003B2910">
        <w:t>fertiliser and soil ameliorant application methods, including timing and frequency of fertiliser and soil ameliorant application to minimise losses</w:t>
      </w:r>
    </w:p>
    <w:p w:rsidR="00000000" w:rsidRPr="003B2910" w:rsidP="003B2910">
      <w:pPr>
        <w:pStyle w:val="ListBullet"/>
      </w:pPr>
      <w:r w:rsidRPr="003B2910">
        <w:t>industry production regimes and fertiliser practices.</w:t>
      </w:r>
    </w:p>
    <w:p w:rsidR="00000000" w:rsidRPr="003B2910" w:rsidP="003B2910">
      <w:pPr>
        <w:pStyle w:val="AllowPageBreak"/>
      </w:pPr>
    </w:p>
    <w:p w:rsidR="00000000" w:rsidRPr="003B2910" w:rsidP="003B2910">
      <w:pPr>
        <w:pStyle w:val="Heading1"/>
      </w:pPr>
      <w:bookmarkStart w:id="4" w:name="O_1155233"/>
      <w:bookmarkEnd w:id="4"/>
      <w:r w:rsidRPr="003B2910">
        <w:t>Assessment Conditions</w:t>
      </w:r>
    </w:p>
    <w:p w:rsidR="00000000" w:rsidRPr="003B2910" w:rsidP="00D44917">
      <w:pPr>
        <w:pStyle w:val="BodyText"/>
      </w:pPr>
      <w:r w:rsidRPr="003B2910">
        <w:t xml:space="preserve">Assessment of the skills in this unit of competency must take place under the following conditions: </w:t>
      </w:r>
    </w:p>
    <w:p w:rsidR="00000000" w:rsidRPr="003B2910" w:rsidP="003B2910">
      <w:pPr>
        <w:pStyle w:val="ListBullet"/>
      </w:pPr>
      <w:r w:rsidRPr="003B2910">
        <w:t>physical conditions:</w:t>
      </w:r>
    </w:p>
    <w:p w:rsidR="00000000" w:rsidRPr="003B2910" w:rsidP="003B2910">
      <w:pPr>
        <w:pStyle w:val="ListBullet2"/>
      </w:pPr>
      <w:r w:rsidRPr="003B2910">
        <w:t>a workplace setting or an environment that accurately represents workplace conditions</w:t>
      </w:r>
    </w:p>
    <w:p w:rsidR="00000000" w:rsidRPr="003B2910" w:rsidP="003B2910">
      <w:pPr>
        <w:pStyle w:val="ListBullet"/>
      </w:pPr>
      <w:r w:rsidRPr="003B2910">
        <w:t>resources, equipment and materials:</w:t>
      </w:r>
    </w:p>
    <w:p w:rsidR="00000000" w:rsidRPr="003B2910" w:rsidP="003B2910">
      <w:pPr>
        <w:pStyle w:val="ListBullet2"/>
      </w:pPr>
      <w:r w:rsidRPr="003B2910">
        <w:t>fertilisers and soil ameliorants</w:t>
      </w:r>
    </w:p>
    <w:p w:rsidR="00000000" w:rsidRPr="003B2910" w:rsidP="003B2910">
      <w:pPr>
        <w:pStyle w:val="ListBullet2"/>
      </w:pPr>
      <w:r w:rsidRPr="003B2910">
        <w:t>soil, plant tissue and water sampling tools</w:t>
      </w:r>
    </w:p>
    <w:p w:rsidR="00000000" w:rsidRPr="003B2910" w:rsidP="003B2910">
      <w:pPr>
        <w:pStyle w:val="ListBullet2"/>
      </w:pPr>
      <w:r w:rsidRPr="003B2910">
        <w:t>nutrient management tools</w:t>
      </w:r>
    </w:p>
    <w:p w:rsidR="00000000" w:rsidRPr="003B2910" w:rsidP="003B2910">
      <w:pPr>
        <w:pStyle w:val="ListBullet"/>
      </w:pPr>
      <w:r w:rsidRPr="003B2910">
        <w:t>specifications:</w:t>
      </w:r>
    </w:p>
    <w:p w:rsidR="00000000" w:rsidRPr="003B2910" w:rsidP="003B2910">
      <w:pPr>
        <w:pStyle w:val="ListBullet2"/>
      </w:pPr>
      <w:r w:rsidRPr="003B2910">
        <w:t>workplace health and safety procedures, manufacturer requirements, chemical safety and food safety</w:t>
      </w:r>
      <w:r w:rsidRPr="003B2910">
        <w:t xml:space="preserve"> legislation and regulations, biosecurity and environmental guidelines applicable to fertiliser and soil ameliorant use, transportation, storage and handling</w:t>
      </w:r>
    </w:p>
    <w:p w:rsidR="00000000" w:rsidRPr="003B2910" w:rsidP="003B2910">
      <w:pPr>
        <w:pStyle w:val="ListBullet"/>
      </w:pPr>
      <w:r w:rsidRPr="003B2910">
        <w:t>relationships:</w:t>
      </w:r>
    </w:p>
    <w:p w:rsidR="00000000" w:rsidRPr="003B2910" w:rsidP="003B2910">
      <w:pPr>
        <w:pStyle w:val="ListBullet2"/>
      </w:pPr>
      <w:r w:rsidRPr="003B2910">
        <w:t>customers, specialist adviser.</w:t>
      </w:r>
    </w:p>
    <w:p w:rsidR="00000000" w:rsidRPr="003B2910" w:rsidP="00D44917">
      <w:pPr>
        <w:pStyle w:val="BodyText"/>
      </w:pPr>
      <w:r w:rsidRPr="003B2910">
        <w:t>Assessors of this unit must satisfy the requiremen</w:t>
      </w:r>
      <w:r w:rsidRPr="003B2910">
        <w:t>ts for assessors in applicable vocational education and training legislation, frameworks and/or standards.</w:t>
      </w:r>
    </w:p>
    <w:p w:rsidR="00000000" w:rsidRPr="003B2910" w:rsidP="003B2910">
      <w:pPr>
        <w:pStyle w:val="Heading1"/>
      </w:pPr>
      <w:bookmarkStart w:id="5" w:name="O_1155236"/>
      <w:bookmarkEnd w:id="5"/>
      <w:r w:rsidRPr="003B2910">
        <w:t>Links</w:t>
      </w:r>
    </w:p>
    <w:p w:rsidR="00000000" w:rsidRPr="003B2910" w:rsidP="00D44917">
      <w:pPr>
        <w:pStyle w:val="BodyText"/>
      </w:pPr>
      <w:r w:rsidRPr="003B29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5C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2910" w:rsidP="003B2910"/>
    <w:sectPr w:rsidSect="003B2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10" w:rsidRPr="00D44917" w:rsidP="00D44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17" w:rsidP="003B2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917" w:rsidP="003B2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4917" w:rsidP="003B2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910" w:rsidRPr="00D44917" w:rsidP="00D44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17" w:rsidRPr="002D2AF8" w:rsidP="003B2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AHCSOL405 Provide information on fertilisers and soil ameliorants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4917" w:rsidP="003B2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41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BE9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4A93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910"/>
  </w:style>
  <w:style w:type="character" w:customStyle="1" w:styleId="Heading1Char">
    <w:name w:val="Heading 1 Char"/>
    <w:basedOn w:val="DefaultParagraphFont"/>
    <w:link w:val="Heading1"/>
    <w:rsid w:val="003B2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9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9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2910"/>
    <w:rPr>
      <w:b/>
    </w:rPr>
  </w:style>
  <w:style w:type="character" w:customStyle="1" w:styleId="Heading2Char">
    <w:name w:val="Heading 2 Char"/>
    <w:basedOn w:val="DefaultParagraphFont"/>
    <w:link w:val="Heading2"/>
    <w:rsid w:val="003B2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910"/>
    <w:rPr>
      <w:b/>
      <w:spacing w:val="0"/>
    </w:rPr>
  </w:style>
  <w:style w:type="paragraph" w:customStyle="1" w:styleId="SuperTitle">
    <w:name w:val="SuperTitle"/>
    <w:basedOn w:val="Title"/>
    <w:rsid w:val="003B2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910"/>
    <w:rPr>
      <w:i/>
    </w:rPr>
  </w:style>
  <w:style w:type="paragraph" w:styleId="Caption">
    <w:name w:val="caption"/>
    <w:basedOn w:val="BodyText"/>
    <w:next w:val="Normal"/>
    <w:qFormat/>
    <w:rsid w:val="003B2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910"/>
  </w:style>
  <w:style w:type="paragraph" w:styleId="TableofFigures">
    <w:name w:val="table of figures"/>
    <w:basedOn w:val="Normal"/>
    <w:next w:val="Normal"/>
    <w:semiHidden/>
    <w:rsid w:val="003B2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9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910"/>
    <w:rPr>
      <w:rFonts w:ascii="Wingdings" w:hAnsi="Wingdings"/>
    </w:rPr>
  </w:style>
  <w:style w:type="paragraph" w:customStyle="1" w:styleId="TableHeading">
    <w:name w:val="Table Heading"/>
    <w:basedOn w:val="HeadingBase"/>
    <w:rsid w:val="003B2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910"/>
    <w:rPr>
      <w:color w:val="0033CC"/>
      <w:u w:val="none"/>
    </w:rPr>
  </w:style>
  <w:style w:type="paragraph" w:customStyle="1" w:styleId="BodyTextRight">
    <w:name w:val="Body Text Right"/>
    <w:basedOn w:val="BodyText"/>
    <w:rsid w:val="003B2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9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910"/>
    <w:rPr>
      <w:sz w:val="32"/>
    </w:rPr>
  </w:style>
  <w:style w:type="paragraph" w:customStyle="1" w:styleId="HeadingProcedure">
    <w:name w:val="Heading Procedure"/>
    <w:basedOn w:val="HeadingBase"/>
    <w:next w:val="Normal"/>
    <w:rsid w:val="003B2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910"/>
    <w:pPr>
      <w:spacing w:before="60" w:after="60"/>
    </w:pPr>
  </w:style>
  <w:style w:type="paragraph" w:styleId="ListContinue">
    <w:name w:val="List Continue"/>
    <w:basedOn w:val="List"/>
    <w:rsid w:val="003B2910"/>
    <w:pPr>
      <w:ind w:firstLine="0"/>
    </w:pPr>
  </w:style>
  <w:style w:type="paragraph" w:customStyle="1" w:styleId="ListNote">
    <w:name w:val="List Note"/>
    <w:basedOn w:val="List"/>
    <w:rsid w:val="003B2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910"/>
    <w:rPr>
      <w:rFonts w:ascii="Courier New" w:hAnsi="Courier New"/>
    </w:rPr>
  </w:style>
  <w:style w:type="paragraph" w:customStyle="1" w:styleId="NoteBullet">
    <w:name w:val="Note Bullet"/>
    <w:basedOn w:val="Note"/>
    <w:rsid w:val="003B2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9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910"/>
    <w:rPr>
      <w:b/>
      <w:smallCaps/>
    </w:rPr>
  </w:style>
  <w:style w:type="paragraph" w:customStyle="1" w:styleId="TableListNumber">
    <w:name w:val="Table List Number"/>
    <w:basedOn w:val="ListNumber"/>
    <w:rsid w:val="003B2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910"/>
    <w:pPr>
      <w:numPr>
        <w:numId w:val="9"/>
      </w:numPr>
    </w:pPr>
  </w:style>
  <w:style w:type="paragraph" w:customStyle="1" w:styleId="ListAlpha2">
    <w:name w:val="List Alpha 2"/>
    <w:basedOn w:val="List2"/>
    <w:rsid w:val="003B2910"/>
    <w:pPr>
      <w:numPr>
        <w:numId w:val="8"/>
      </w:numPr>
    </w:pPr>
  </w:style>
  <w:style w:type="paragraph" w:styleId="List2">
    <w:name w:val="List 2"/>
    <w:basedOn w:val="BodyText"/>
    <w:rsid w:val="003B2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9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9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910"/>
    <w:pPr>
      <w:numPr>
        <w:numId w:val="4"/>
      </w:numPr>
    </w:pPr>
  </w:style>
  <w:style w:type="paragraph" w:styleId="ListContinue2">
    <w:name w:val="List Continue 2"/>
    <w:basedOn w:val="List2"/>
    <w:rsid w:val="003B2910"/>
    <w:pPr>
      <w:ind w:firstLine="0"/>
    </w:pPr>
  </w:style>
  <w:style w:type="paragraph" w:styleId="ListContinue3">
    <w:name w:val="List Continue 3"/>
    <w:basedOn w:val="List3"/>
    <w:rsid w:val="003B2910"/>
    <w:pPr>
      <w:ind w:left="1021" w:firstLine="0"/>
    </w:pPr>
  </w:style>
  <w:style w:type="paragraph" w:styleId="ListContinue4">
    <w:name w:val="List Continue 4"/>
    <w:basedOn w:val="List4"/>
    <w:rsid w:val="003B2910"/>
    <w:pPr>
      <w:ind w:firstLine="0"/>
    </w:pPr>
  </w:style>
  <w:style w:type="paragraph" w:styleId="ListContinue5">
    <w:name w:val="List Continue 5"/>
    <w:basedOn w:val="List5"/>
    <w:rsid w:val="003B2910"/>
    <w:pPr>
      <w:ind w:firstLine="0"/>
    </w:pPr>
  </w:style>
  <w:style w:type="paragraph" w:styleId="ListNumber3">
    <w:name w:val="List Number 3"/>
    <w:basedOn w:val="List3"/>
    <w:rsid w:val="003B2910"/>
    <w:pPr>
      <w:numPr>
        <w:numId w:val="5"/>
      </w:numPr>
    </w:pPr>
  </w:style>
  <w:style w:type="paragraph" w:styleId="ListNumber4">
    <w:name w:val="List Number 4"/>
    <w:basedOn w:val="List4"/>
    <w:rsid w:val="003B2910"/>
    <w:pPr>
      <w:numPr>
        <w:numId w:val="6"/>
      </w:numPr>
    </w:pPr>
  </w:style>
  <w:style w:type="paragraph" w:styleId="ListNumber5">
    <w:name w:val="List Number 5"/>
    <w:basedOn w:val="List5"/>
    <w:rsid w:val="003B2910"/>
    <w:pPr>
      <w:numPr>
        <w:numId w:val="7"/>
      </w:numPr>
    </w:pPr>
  </w:style>
  <w:style w:type="paragraph" w:styleId="BlockText">
    <w:name w:val="Block Text"/>
    <w:basedOn w:val="Normal"/>
    <w:rsid w:val="003B2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910"/>
    <w:rPr>
      <w:sz w:val="16"/>
      <w:vertAlign w:val="superscript"/>
    </w:rPr>
  </w:style>
  <w:style w:type="character" w:customStyle="1" w:styleId="Symbols">
    <w:name w:val="Symbols"/>
    <w:basedOn w:val="DefaultParagraphFont"/>
    <w:rsid w:val="003B2910"/>
    <w:rPr>
      <w:rFonts w:ascii="Symbol" w:hAnsi="Symbol"/>
    </w:rPr>
  </w:style>
  <w:style w:type="character" w:customStyle="1" w:styleId="MenuOptions">
    <w:name w:val="Menu Options"/>
    <w:basedOn w:val="DefaultParagraphFont"/>
    <w:rsid w:val="003B2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910"/>
    <w:rPr>
      <w:b/>
    </w:rPr>
  </w:style>
  <w:style w:type="character" w:customStyle="1" w:styleId="Underlined">
    <w:name w:val="Underlined"/>
    <w:basedOn w:val="DefaultParagraphFont"/>
    <w:rsid w:val="003B2910"/>
    <w:rPr>
      <w:u w:val="single"/>
    </w:rPr>
  </w:style>
  <w:style w:type="paragraph" w:customStyle="1" w:styleId="TableBodyTextRight">
    <w:name w:val="Table Body Text Right"/>
    <w:basedOn w:val="TableBodyText"/>
    <w:rsid w:val="003B2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910"/>
    <w:rPr>
      <w:sz w:val="18"/>
    </w:rPr>
  </w:style>
  <w:style w:type="paragraph" w:customStyle="1" w:styleId="BodySmallRight">
    <w:name w:val="Body Small Right"/>
    <w:basedOn w:val="BodyTextRight"/>
    <w:rsid w:val="003B2910"/>
    <w:rPr>
      <w:sz w:val="18"/>
      <w:szCs w:val="18"/>
    </w:rPr>
  </w:style>
  <w:style w:type="paragraph" w:customStyle="1" w:styleId="MarginEdition">
    <w:name w:val="Margin Edition"/>
    <w:basedOn w:val="MarginNote"/>
    <w:rsid w:val="003B2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910"/>
    <w:rPr>
      <w:sz w:val="2"/>
      <w:szCs w:val="2"/>
    </w:rPr>
  </w:style>
  <w:style w:type="character" w:customStyle="1" w:styleId="Small">
    <w:name w:val="Small"/>
    <w:basedOn w:val="DefaultParagraphFont"/>
    <w:rsid w:val="003B2910"/>
    <w:rPr>
      <w:sz w:val="16"/>
    </w:rPr>
  </w:style>
  <w:style w:type="paragraph" w:customStyle="1" w:styleId="WideTable">
    <w:name w:val="Wide Table"/>
    <w:basedOn w:val="Normal"/>
    <w:rsid w:val="003B2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910"/>
  </w:style>
  <w:style w:type="paragraph" w:styleId="Quote">
    <w:name w:val="Quote"/>
    <w:basedOn w:val="Heading1"/>
    <w:link w:val="QuoteChar"/>
    <w:qFormat/>
    <w:rsid w:val="003B2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910"/>
    <w:pPr>
      <w:pageBreakBefore/>
    </w:pPr>
  </w:style>
  <w:style w:type="paragraph" w:customStyle="1" w:styleId="Border">
    <w:name w:val="Border"/>
    <w:basedOn w:val="Normal"/>
    <w:qFormat/>
    <w:rsid w:val="003B2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910"/>
    <w:rPr>
      <w:u w:val="single"/>
    </w:rPr>
  </w:style>
  <w:style w:type="character" w:customStyle="1" w:styleId="BoldandItalics">
    <w:name w:val="Bold and Italics"/>
    <w:qFormat/>
    <w:rsid w:val="003B2910"/>
    <w:rPr>
      <w:b/>
      <w:i/>
      <w:u w:val="none"/>
    </w:rPr>
  </w:style>
  <w:style w:type="paragraph" w:styleId="BalloonText">
    <w:name w:val="Balloon Text"/>
    <w:basedOn w:val="Normal"/>
    <w:link w:val="BalloonTextChar"/>
    <w:rsid w:val="003B2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9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4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3394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AHCSOL405 Provide information on fertilisers and soil ameliorants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