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3F8" w:rsidP="00137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AHCSHG309 Prepare combs and cutters for machine shearing</w:t>
      </w:r>
      <w:r>
        <w:fldChar w:fldCharType="end"/>
      </w:r>
    </w:p>
    <w:p w:rsidR="001373F8" w:rsidP="001373F8">
      <w:pPr>
        <w:pStyle w:val="Version"/>
        <w:sectPr w:rsidSect="002D1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C74" w:rsidP="002D1C74">
      <w:pPr>
        <w:pStyle w:val="SuperHeading"/>
      </w:pPr>
      <w:r w:rsidRPr="002D1C74">
        <w:t>AHCSHG309 Prepare combs and cutters for machine shearing</w:t>
      </w:r>
    </w:p>
    <w:p w:rsidR="00000000" w:rsidRPr="002D1C74" w:rsidP="002D1C74">
      <w:pPr>
        <w:pStyle w:val="Heading1"/>
      </w:pPr>
      <w:bookmarkStart w:id="1" w:name="O_1288027"/>
      <w:bookmarkEnd w:id="1"/>
      <w:r w:rsidRPr="002D1C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Comments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BodyText"/>
            </w:pPr>
            <w:r w:rsidRPr="002D1C74">
              <w:t>This version released with AHC Agriculture, Horticulture and Conservation and Land Management Training Package Release 11.0.</w:t>
            </w:r>
          </w:p>
        </w:tc>
      </w:tr>
    </w:tbl>
    <w:p w:rsidR="00000000" w:rsidRPr="002D1C74" w:rsidP="002D1C74">
      <w:pPr>
        <w:pStyle w:val="BodyText"/>
      </w:pPr>
    </w:p>
    <w:p w:rsidR="00000000" w:rsidRPr="002D1C74" w:rsidP="002D1C74">
      <w:pPr>
        <w:pStyle w:val="AllowPageBreak"/>
      </w:pPr>
    </w:p>
    <w:p w:rsidR="00000000" w:rsidRPr="002D1C74" w:rsidP="002D1C74">
      <w:pPr>
        <w:pStyle w:val="Heading1"/>
      </w:pPr>
      <w:bookmarkStart w:id="2" w:name="O_1288028"/>
      <w:bookmarkEnd w:id="2"/>
      <w:r w:rsidRPr="002D1C74">
        <w:t>Application</w:t>
      </w:r>
    </w:p>
    <w:p w:rsidR="00000000" w:rsidRPr="002D1C74" w:rsidP="001373F8">
      <w:pPr>
        <w:pStyle w:val="BodyText"/>
      </w:pPr>
      <w:r w:rsidRPr="002D1C74">
        <w:t>This unit of competency describ</w:t>
      </w:r>
      <w:r w:rsidRPr="002D1C74">
        <w:t>es the skills and knowledge required to prepare combs and cutters for machine shearing.</w:t>
      </w:r>
    </w:p>
    <w:p w:rsidR="00000000" w:rsidRPr="002D1C74" w:rsidP="001373F8">
      <w:pPr>
        <w:pStyle w:val="BodyText"/>
      </w:pPr>
      <w:r w:rsidRPr="002D1C74">
        <w:t>This unit applies to individuals who work under broad direction and take responsibility for their own work, including limited responsibility for the work of others. The</w:t>
      </w:r>
      <w:r w:rsidRPr="002D1C74">
        <w:t>y use discretion and judgement in the selection and use of available resources.</w:t>
      </w:r>
    </w:p>
    <w:p w:rsidR="00000000" w:rsidRPr="002D1C74" w:rsidP="001373F8">
      <w:pPr>
        <w:pStyle w:val="BodyText"/>
      </w:pPr>
      <w:r w:rsidRPr="002D1C74">
        <w:t>All work must be carried out to comply with workplace procedures, according to state/territory health and safety regulations, legislation and standards that apply to the workpl</w:t>
      </w:r>
      <w:r w:rsidRPr="002D1C74">
        <w:t xml:space="preserve">ace. </w:t>
      </w:r>
    </w:p>
    <w:p w:rsidR="00000000" w:rsidRPr="002D1C74" w:rsidP="001373F8">
      <w:pPr>
        <w:pStyle w:val="BodyText"/>
      </w:pPr>
      <w:r w:rsidRPr="002D1C74">
        <w:t>No licensing, legislative or certification requirements are known to apply to this unit at the time of publication.</w:t>
      </w:r>
    </w:p>
    <w:p w:rsidR="00000000" w:rsidRPr="002D1C74" w:rsidP="002D1C74">
      <w:pPr>
        <w:pStyle w:val="Heading1"/>
      </w:pPr>
      <w:bookmarkStart w:id="3" w:name="O_1288029"/>
      <w:bookmarkEnd w:id="3"/>
      <w:r w:rsidRPr="002D1C74">
        <w:t>Pre-requisite Unit</w:t>
      </w:r>
    </w:p>
    <w:p w:rsidR="00000000" w:rsidRPr="002D1C74" w:rsidP="001373F8">
      <w:pPr>
        <w:pStyle w:val="BodyText"/>
      </w:pPr>
      <w:r w:rsidRPr="002D1C74">
        <w:t>Nil</w:t>
      </w:r>
    </w:p>
    <w:p w:rsidR="00000000" w:rsidRPr="002D1C74" w:rsidP="002D1C74">
      <w:pPr>
        <w:pStyle w:val="Heading1"/>
      </w:pPr>
      <w:bookmarkStart w:id="4" w:name="O_1288031"/>
      <w:bookmarkEnd w:id="4"/>
      <w:r w:rsidRPr="002D1C74">
        <w:t>Unit Sector</w:t>
      </w:r>
    </w:p>
    <w:p w:rsidR="00000000" w:rsidRPr="002D1C74" w:rsidP="001373F8">
      <w:pPr>
        <w:pStyle w:val="BodyText"/>
      </w:pPr>
      <w:r w:rsidRPr="002D1C74">
        <w:t>Shearing (SHG)</w:t>
      </w:r>
    </w:p>
    <w:p w:rsidR="00000000" w:rsidRPr="002D1C74" w:rsidP="002D1C74">
      <w:pPr>
        <w:pStyle w:val="Heading1"/>
      </w:pPr>
      <w:bookmarkStart w:id="5" w:name="O_1288032"/>
      <w:bookmarkEnd w:id="5"/>
      <w:r w:rsidRPr="002D1C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Performance Criteria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Performance criteria describe the performance needed to demonstrate achievement of the element.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1. Grind combs and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BodyText"/>
            </w:pPr>
            <w:r w:rsidRPr="002D1C74">
              <w:t>1.1 Check the grinder and</w:t>
            </w:r>
            <w:r w:rsidRPr="002D1C74">
              <w:t xml:space="preserve"> its location for safety hazards and implement control measures according to work health and safety (WHS) </w:t>
            </w:r>
          </w:p>
          <w:p w:rsidR="00000000" w:rsidRPr="002D1C74" w:rsidP="002D1C74">
            <w:pPr>
              <w:pStyle w:val="BodyText"/>
            </w:pPr>
            <w:r w:rsidRPr="002D1C74">
              <w:t xml:space="preserve">1.2 Identify faulty components and determine level of repair or </w:t>
            </w:r>
            <w:r w:rsidRPr="002D1C74">
              <w:t>replacement requirements</w:t>
            </w:r>
          </w:p>
          <w:p w:rsidR="00000000" w:rsidRPr="002D1C74" w:rsidP="002D1C74">
            <w:pPr>
              <w:pStyle w:val="BodyText"/>
            </w:pPr>
            <w:r w:rsidRPr="002D1C74">
              <w:t>1.3 Access appropriate personal protective equipment (PPE) a</w:t>
            </w:r>
            <w:r w:rsidRPr="002D1C74">
              <w:t>nd fit correctly</w:t>
            </w:r>
          </w:p>
          <w:p w:rsidR="00000000" w:rsidRPr="002D1C74" w:rsidP="002D1C74">
            <w:pPr>
              <w:pStyle w:val="BodyText"/>
            </w:pPr>
            <w:r w:rsidRPr="002D1C74">
              <w:t>1.4 Operate grinder in a safe manner without risk of injury to operator or others or damage to equipment and in line with manufacturer specifications</w:t>
            </w:r>
          </w:p>
          <w:p w:rsidR="00000000" w:rsidRPr="002D1C74" w:rsidP="002D1C74">
            <w:pPr>
              <w:pStyle w:val="BodyText"/>
            </w:pPr>
            <w:r w:rsidRPr="002D1C74">
              <w:t>1.5 Adjust pendulum pin settings, confirm set and pendulum bar is clean and check for lev</w:t>
            </w:r>
            <w:r w:rsidRPr="002D1C74">
              <w:t>el</w:t>
            </w:r>
          </w:p>
          <w:p w:rsidR="00000000" w:rsidRPr="002D1C74" w:rsidP="002D1C74">
            <w:pPr>
              <w:pStyle w:val="BodyText"/>
            </w:pPr>
            <w:r w:rsidRPr="002D1C74">
              <w:t>1.6 Test grinding plates visually in terms of being balanced and true</w:t>
            </w:r>
          </w:p>
          <w:p w:rsidR="00000000" w:rsidRPr="002D1C74" w:rsidP="002D1C74">
            <w:pPr>
              <w:pStyle w:val="BodyText"/>
            </w:pPr>
            <w:r w:rsidRPr="002D1C74">
              <w:t>1.7 Identify worn and incorrectly adhered papers and replace</w:t>
            </w:r>
          </w:p>
          <w:p w:rsidR="00000000" w:rsidRPr="002D1C74" w:rsidP="002D1C74">
            <w:pPr>
              <w:pStyle w:val="BodyText"/>
            </w:pPr>
            <w:r w:rsidRPr="002D1C74">
              <w:t>1.8 Set grinder according to manufacturer specifications</w:t>
            </w:r>
          </w:p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1.9 Identify even wear of combs and cutters and sharpen combs and</w:t>
            </w:r>
            <w:r w:rsidRPr="002D1C74">
              <w:t xml:space="preserve"> cutters in line with manufacturer specifications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2. Dress combs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BodyText"/>
            </w:pPr>
            <w:r w:rsidRPr="002D1C74">
              <w:t>2.1 Select bevel and modify appropriate to wool type</w:t>
            </w:r>
          </w:p>
          <w:p w:rsidR="00000000" w:rsidRPr="002D1C74" w:rsidP="002D1C74">
            <w:pPr>
              <w:pStyle w:val="BodyText"/>
            </w:pPr>
            <w:r w:rsidRPr="002D1C74">
              <w:t>2.2 Determine factors affecting combs selection in terms of type of livestock and seasonal conditions</w:t>
            </w:r>
          </w:p>
          <w:p w:rsidR="00000000" w:rsidRPr="002D1C74" w:rsidP="002D1C74">
            <w:pPr>
              <w:pStyle w:val="BodyText"/>
            </w:pPr>
            <w:r w:rsidRPr="002D1C74">
              <w:t>2.3 Dress comb teeth to uniform shape and length</w:t>
            </w:r>
          </w:p>
          <w:p w:rsidR="00000000" w:rsidRPr="002D1C74" w:rsidP="002D1C74">
            <w:pPr>
              <w:pStyle w:val="BodyText"/>
            </w:pPr>
            <w:r w:rsidRPr="002D1C74">
              <w:t>2.4 Thin comb teeth uniformly along their length</w:t>
            </w:r>
          </w:p>
          <w:p w:rsidR="00000000" w:rsidRPr="002D1C74" w:rsidP="002D1C74">
            <w:pPr>
              <w:pStyle w:val="BodyText"/>
            </w:pPr>
            <w:r w:rsidRPr="002D1C74">
              <w:t>2.5 Polish comb leaving no rough or sharp points</w:t>
            </w:r>
          </w:p>
        </w:tc>
      </w:tr>
    </w:tbl>
    <w:p w:rsidR="00000000" w:rsidRPr="002D1C74" w:rsidP="002D1C74">
      <w:pPr>
        <w:pStyle w:val="BodyText"/>
      </w:pPr>
    </w:p>
    <w:p w:rsidR="00000000" w:rsidRPr="002D1C74" w:rsidP="002D1C74">
      <w:pPr>
        <w:pStyle w:val="AllowPageBreak"/>
      </w:pPr>
    </w:p>
    <w:p w:rsidR="00000000" w:rsidRPr="002D1C74" w:rsidP="002D1C74">
      <w:pPr>
        <w:pStyle w:val="Heading1"/>
      </w:pPr>
      <w:bookmarkStart w:id="6" w:name="O_1288033"/>
      <w:bookmarkEnd w:id="6"/>
      <w:r w:rsidRPr="002D1C74">
        <w:t>Foundation Skills</w:t>
      </w:r>
    </w:p>
    <w:p w:rsidR="00000000" w:rsidRPr="001373F8" w:rsidP="001373F8">
      <w:pPr>
        <w:pStyle w:val="BodyText"/>
        <w:rPr>
          <w:i/>
        </w:rPr>
      </w:pPr>
      <w:r w:rsidRPr="001373F8">
        <w:rPr>
          <w:rStyle w:val="Emphasis"/>
        </w:rPr>
        <w:t>This section describes those language, literacy, numeracy and employme</w:t>
      </w:r>
      <w:r w:rsidRPr="001373F8">
        <w:rPr>
          <w:rStyle w:val="Emphasis"/>
        </w:rPr>
        <w:t>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Description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ListBullet"/>
              <w:rPr>
                <w:lang w:val="en-NZ"/>
              </w:rPr>
            </w:pPr>
            <w:r w:rsidRPr="002D1C74">
              <w:t>Access and interpret manufacturer specification requirements to identify relevant information regarding co</w:t>
            </w:r>
            <w:r w:rsidRPr="002D1C74">
              <w:t>mbs and cutters for machine shearing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ListBullet"/>
            </w:pPr>
            <w:r w:rsidRPr="002D1C74">
              <w:t>Use clear language and industry terminology to relay information pertaining to the preparation of combs and cutters for machine shearing</w:t>
            </w:r>
          </w:p>
        </w:tc>
      </w:tr>
    </w:tbl>
    <w:p w:rsidR="00000000" w:rsidRPr="002D1C74" w:rsidP="002D1C74">
      <w:pPr>
        <w:pStyle w:val="BodyText"/>
      </w:pPr>
    </w:p>
    <w:p w:rsidR="00000000" w:rsidRPr="002D1C74" w:rsidP="002D1C74">
      <w:pPr>
        <w:pStyle w:val="AllowPageBreak"/>
      </w:pPr>
    </w:p>
    <w:p w:rsidR="00000000" w:rsidRPr="002D1C74" w:rsidP="002D1C74">
      <w:pPr>
        <w:pStyle w:val="Heading1"/>
      </w:pPr>
      <w:bookmarkStart w:id="7" w:name="O_1288035"/>
      <w:bookmarkEnd w:id="7"/>
      <w:r w:rsidRPr="002D1C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Bold"/>
              <w:rPr>
                <w:lang w:val="en-NZ"/>
              </w:rPr>
            </w:pPr>
            <w:r w:rsidRPr="002D1C74">
              <w:t>Equivalence status</w:t>
            </w:r>
          </w:p>
        </w:tc>
      </w:tr>
      <w:tr w:rsidTr="002D1C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AHCSHG309 Prepare combs and cutters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AHCSHG302 Prepare combs and cutters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BodyText"/>
            </w:pPr>
            <w:r w:rsidRPr="002D1C74">
              <w:t>Application wording clarified</w:t>
            </w:r>
          </w:p>
          <w:p w:rsidR="00000000" w:rsidRPr="002D1C74" w:rsidP="002D1C74">
            <w:pPr>
              <w:pStyle w:val="BodyText"/>
            </w:pPr>
            <w:r w:rsidRPr="002D1C74">
              <w:t>Changes to performance criteria for clarification</w:t>
            </w:r>
          </w:p>
          <w:p w:rsidR="00000000" w:rsidRPr="002D1C74" w:rsidP="002D1C74">
            <w:pPr>
              <w:pStyle w:val="BodyText"/>
            </w:pPr>
            <w:r w:rsidRPr="002D1C74">
              <w:t>Foundation skills information added</w:t>
            </w:r>
          </w:p>
          <w:p w:rsidR="00000000" w:rsidRPr="002D1C74" w:rsidP="002D1C74">
            <w:pPr>
              <w:pStyle w:val="BodyText"/>
            </w:pPr>
            <w:r w:rsidRPr="002D1C74">
              <w:t>Changes to performance evidence to specify volume and frequency</w:t>
            </w:r>
          </w:p>
          <w:p w:rsidR="00000000" w:rsidRPr="002D1C74" w:rsidP="002D1C74">
            <w:pPr>
              <w:pStyle w:val="BodyText"/>
            </w:pPr>
            <w:r w:rsidRPr="002D1C74">
              <w:t>Knowledge evidence specificity added, and other wording clarified</w:t>
            </w:r>
          </w:p>
          <w:p w:rsidR="00000000" w:rsidP="002D1C74">
            <w:pPr>
              <w:pStyle w:val="BodyText"/>
              <w:rPr>
                <w:lang w:val="en-NZ"/>
              </w:rPr>
            </w:pPr>
            <w:r w:rsidRPr="002D1C7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C74" w:rsidP="002D1C74">
            <w:pPr>
              <w:pStyle w:val="BodyText"/>
            </w:pPr>
            <w:r w:rsidRPr="002D1C74">
              <w:t>Equivale</w:t>
            </w:r>
            <w:r w:rsidRPr="002D1C74">
              <w:t>nt</w:t>
            </w:r>
          </w:p>
        </w:tc>
      </w:tr>
    </w:tbl>
    <w:p w:rsidR="00000000" w:rsidRPr="002D1C74" w:rsidP="002D1C74">
      <w:pPr>
        <w:pStyle w:val="BodyText"/>
      </w:pPr>
    </w:p>
    <w:p w:rsidR="00000000" w:rsidRPr="002D1C74" w:rsidP="002D1C74">
      <w:pPr>
        <w:pStyle w:val="AllowPageBreak"/>
      </w:pPr>
    </w:p>
    <w:p w:rsidR="00000000" w:rsidRPr="002D1C74" w:rsidP="002D1C74">
      <w:pPr>
        <w:pStyle w:val="Heading1"/>
      </w:pPr>
      <w:bookmarkStart w:id="8" w:name="O_1288042"/>
      <w:bookmarkEnd w:id="8"/>
      <w:r w:rsidRPr="002D1C74">
        <w:t>Links</w:t>
      </w:r>
    </w:p>
    <w:p w:rsidR="00000000" w:rsidRPr="002D1C74" w:rsidP="001373F8">
      <w:pPr>
        <w:pStyle w:val="BodyText"/>
      </w:pPr>
      <w:r w:rsidRPr="002D1C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11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1C74" w:rsidP="002D1C74"/>
    <w:sectPr w:rsidSect="002D1C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4" w:rsidRPr="001373F8" w:rsidP="00137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F8" w:rsidP="002D1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3F8" w:rsidP="002D1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73F8" w:rsidP="002D1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C74" w:rsidRPr="001373F8" w:rsidP="00137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3F8" w:rsidRPr="002D2AF8" w:rsidP="002D1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AHCSHG309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73F8" w:rsidP="002D1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8CE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82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C74"/>
  </w:style>
  <w:style w:type="character" w:customStyle="1" w:styleId="Heading1Char">
    <w:name w:val="Heading 1 Char"/>
    <w:basedOn w:val="DefaultParagraphFont"/>
    <w:link w:val="Heading1"/>
    <w:rsid w:val="002D1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C7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1C74"/>
    <w:rPr>
      <w:i/>
    </w:rPr>
  </w:style>
  <w:style w:type="paragraph" w:customStyle="1" w:styleId="SuperHeading">
    <w:name w:val="SuperHeading"/>
    <w:basedOn w:val="Normal"/>
    <w:rsid w:val="002D1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1C74"/>
    <w:rPr>
      <w:b/>
    </w:rPr>
  </w:style>
  <w:style w:type="character" w:customStyle="1" w:styleId="Heading2Char">
    <w:name w:val="Heading 2 Char"/>
    <w:basedOn w:val="DefaultParagraphFont"/>
    <w:link w:val="Heading2"/>
    <w:rsid w:val="002D1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C74"/>
    <w:rPr>
      <w:b/>
      <w:spacing w:val="0"/>
    </w:rPr>
  </w:style>
  <w:style w:type="paragraph" w:customStyle="1" w:styleId="SuperTitle">
    <w:name w:val="SuperTitle"/>
    <w:basedOn w:val="Title"/>
    <w:rsid w:val="002D1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C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C74"/>
  </w:style>
  <w:style w:type="paragraph" w:styleId="TableofFigures">
    <w:name w:val="table of figures"/>
    <w:basedOn w:val="Normal"/>
    <w:next w:val="Normal"/>
    <w:semiHidden/>
    <w:rsid w:val="002D1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C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C74"/>
    <w:rPr>
      <w:rFonts w:ascii="Wingdings" w:hAnsi="Wingdings"/>
    </w:rPr>
  </w:style>
  <w:style w:type="paragraph" w:customStyle="1" w:styleId="TableHeading">
    <w:name w:val="Table Heading"/>
    <w:basedOn w:val="HeadingBase"/>
    <w:rsid w:val="002D1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C74"/>
    <w:rPr>
      <w:color w:val="0033CC"/>
      <w:u w:val="none"/>
    </w:rPr>
  </w:style>
  <w:style w:type="paragraph" w:customStyle="1" w:styleId="BodyTextRight">
    <w:name w:val="Body Text Right"/>
    <w:basedOn w:val="BodyText"/>
    <w:rsid w:val="002D1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C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C74"/>
    <w:rPr>
      <w:sz w:val="32"/>
    </w:rPr>
  </w:style>
  <w:style w:type="paragraph" w:customStyle="1" w:styleId="HeadingProcedure">
    <w:name w:val="Heading Procedure"/>
    <w:basedOn w:val="HeadingBase"/>
    <w:next w:val="Normal"/>
    <w:rsid w:val="002D1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C74"/>
    <w:pPr>
      <w:spacing w:before="60" w:after="60"/>
    </w:pPr>
  </w:style>
  <w:style w:type="paragraph" w:styleId="ListContinue">
    <w:name w:val="List Continue"/>
    <w:basedOn w:val="List"/>
    <w:rsid w:val="002D1C74"/>
    <w:pPr>
      <w:ind w:firstLine="0"/>
    </w:pPr>
  </w:style>
  <w:style w:type="paragraph" w:customStyle="1" w:styleId="ListNote">
    <w:name w:val="List Note"/>
    <w:basedOn w:val="List"/>
    <w:rsid w:val="002D1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C74"/>
    <w:rPr>
      <w:rFonts w:ascii="Courier New" w:hAnsi="Courier New"/>
    </w:rPr>
  </w:style>
  <w:style w:type="paragraph" w:customStyle="1" w:styleId="NoteBullet">
    <w:name w:val="Note Bullet"/>
    <w:basedOn w:val="Note"/>
    <w:rsid w:val="002D1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C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C74"/>
    <w:rPr>
      <w:b/>
      <w:smallCaps/>
    </w:rPr>
  </w:style>
  <w:style w:type="paragraph" w:customStyle="1" w:styleId="TableListNumber">
    <w:name w:val="Table List Number"/>
    <w:basedOn w:val="ListNumber"/>
    <w:rsid w:val="002D1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C74"/>
    <w:pPr>
      <w:numPr>
        <w:numId w:val="8"/>
      </w:numPr>
    </w:pPr>
  </w:style>
  <w:style w:type="paragraph" w:customStyle="1" w:styleId="ListAlpha2">
    <w:name w:val="List Alpha 2"/>
    <w:basedOn w:val="List2"/>
    <w:rsid w:val="002D1C74"/>
    <w:pPr>
      <w:numPr>
        <w:numId w:val="7"/>
      </w:numPr>
    </w:pPr>
  </w:style>
  <w:style w:type="paragraph" w:styleId="List2">
    <w:name w:val="List 2"/>
    <w:basedOn w:val="BodyText"/>
    <w:rsid w:val="002D1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C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C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C74"/>
    <w:pPr>
      <w:numPr>
        <w:numId w:val="3"/>
      </w:numPr>
    </w:pPr>
  </w:style>
  <w:style w:type="paragraph" w:styleId="ListContinue2">
    <w:name w:val="List Continue 2"/>
    <w:basedOn w:val="List2"/>
    <w:rsid w:val="002D1C74"/>
    <w:pPr>
      <w:ind w:firstLine="0"/>
    </w:pPr>
  </w:style>
  <w:style w:type="paragraph" w:styleId="ListContinue3">
    <w:name w:val="List Continue 3"/>
    <w:basedOn w:val="List3"/>
    <w:rsid w:val="002D1C74"/>
    <w:pPr>
      <w:ind w:left="1021" w:firstLine="0"/>
    </w:pPr>
  </w:style>
  <w:style w:type="paragraph" w:styleId="ListContinue4">
    <w:name w:val="List Continue 4"/>
    <w:basedOn w:val="List4"/>
    <w:rsid w:val="002D1C74"/>
    <w:pPr>
      <w:ind w:firstLine="0"/>
    </w:pPr>
  </w:style>
  <w:style w:type="paragraph" w:styleId="ListContinue5">
    <w:name w:val="List Continue 5"/>
    <w:basedOn w:val="List5"/>
    <w:rsid w:val="002D1C74"/>
    <w:pPr>
      <w:ind w:firstLine="0"/>
    </w:pPr>
  </w:style>
  <w:style w:type="paragraph" w:styleId="ListNumber3">
    <w:name w:val="List Number 3"/>
    <w:basedOn w:val="List3"/>
    <w:rsid w:val="002D1C74"/>
    <w:pPr>
      <w:numPr>
        <w:numId w:val="4"/>
      </w:numPr>
    </w:pPr>
  </w:style>
  <w:style w:type="paragraph" w:styleId="ListNumber4">
    <w:name w:val="List Number 4"/>
    <w:basedOn w:val="List4"/>
    <w:rsid w:val="002D1C74"/>
    <w:pPr>
      <w:numPr>
        <w:numId w:val="5"/>
      </w:numPr>
    </w:pPr>
  </w:style>
  <w:style w:type="paragraph" w:styleId="ListNumber5">
    <w:name w:val="List Number 5"/>
    <w:basedOn w:val="List5"/>
    <w:rsid w:val="002D1C74"/>
    <w:pPr>
      <w:numPr>
        <w:numId w:val="6"/>
      </w:numPr>
    </w:pPr>
  </w:style>
  <w:style w:type="paragraph" w:styleId="BlockText">
    <w:name w:val="Block Text"/>
    <w:basedOn w:val="Normal"/>
    <w:rsid w:val="002D1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C74"/>
    <w:rPr>
      <w:sz w:val="16"/>
      <w:vertAlign w:val="superscript"/>
    </w:rPr>
  </w:style>
  <w:style w:type="character" w:customStyle="1" w:styleId="Symbols">
    <w:name w:val="Symbols"/>
    <w:basedOn w:val="DefaultParagraphFont"/>
    <w:rsid w:val="002D1C74"/>
    <w:rPr>
      <w:rFonts w:ascii="Symbol" w:hAnsi="Symbol"/>
    </w:rPr>
  </w:style>
  <w:style w:type="character" w:customStyle="1" w:styleId="MenuOptions">
    <w:name w:val="Menu Options"/>
    <w:basedOn w:val="DefaultParagraphFont"/>
    <w:rsid w:val="002D1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C74"/>
    <w:rPr>
      <w:b/>
    </w:rPr>
  </w:style>
  <w:style w:type="character" w:customStyle="1" w:styleId="Underlined">
    <w:name w:val="Underlined"/>
    <w:basedOn w:val="DefaultParagraphFont"/>
    <w:rsid w:val="002D1C74"/>
    <w:rPr>
      <w:u w:val="single"/>
    </w:rPr>
  </w:style>
  <w:style w:type="paragraph" w:customStyle="1" w:styleId="TableBodyTextRight">
    <w:name w:val="Table Body Text Right"/>
    <w:basedOn w:val="TableBodyText"/>
    <w:rsid w:val="002D1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C74"/>
    <w:rPr>
      <w:sz w:val="18"/>
    </w:rPr>
  </w:style>
  <w:style w:type="paragraph" w:customStyle="1" w:styleId="BodySmallRight">
    <w:name w:val="Body Small Right"/>
    <w:basedOn w:val="BodyTextRight"/>
    <w:rsid w:val="002D1C74"/>
    <w:rPr>
      <w:sz w:val="18"/>
      <w:szCs w:val="18"/>
    </w:rPr>
  </w:style>
  <w:style w:type="paragraph" w:customStyle="1" w:styleId="MarginEdition">
    <w:name w:val="Margin Edition"/>
    <w:basedOn w:val="MarginNote"/>
    <w:rsid w:val="002D1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C74"/>
    <w:rPr>
      <w:sz w:val="2"/>
      <w:szCs w:val="2"/>
    </w:rPr>
  </w:style>
  <w:style w:type="character" w:customStyle="1" w:styleId="Small">
    <w:name w:val="Small"/>
    <w:basedOn w:val="DefaultParagraphFont"/>
    <w:rsid w:val="002D1C74"/>
    <w:rPr>
      <w:sz w:val="16"/>
    </w:rPr>
  </w:style>
  <w:style w:type="paragraph" w:customStyle="1" w:styleId="WideTable">
    <w:name w:val="Wide Table"/>
    <w:basedOn w:val="Normal"/>
    <w:rsid w:val="002D1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C74"/>
  </w:style>
  <w:style w:type="paragraph" w:styleId="Quote">
    <w:name w:val="Quote"/>
    <w:basedOn w:val="Heading1"/>
    <w:link w:val="QuoteChar"/>
    <w:qFormat/>
    <w:rsid w:val="002D1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C74"/>
    <w:pPr>
      <w:pageBreakBefore/>
    </w:pPr>
  </w:style>
  <w:style w:type="paragraph" w:customStyle="1" w:styleId="Border">
    <w:name w:val="Border"/>
    <w:basedOn w:val="Normal"/>
    <w:qFormat/>
    <w:rsid w:val="002D1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C74"/>
    <w:rPr>
      <w:u w:val="single"/>
    </w:rPr>
  </w:style>
  <w:style w:type="character" w:customStyle="1" w:styleId="BoldandItalics">
    <w:name w:val="Bold and Italics"/>
    <w:qFormat/>
    <w:rsid w:val="002D1C74"/>
    <w:rPr>
      <w:b/>
      <w:i/>
      <w:u w:val="none"/>
    </w:rPr>
  </w:style>
  <w:style w:type="paragraph" w:styleId="BalloonText">
    <w:name w:val="Balloon Text"/>
    <w:basedOn w:val="Normal"/>
    <w:link w:val="BalloonTextChar"/>
    <w:rsid w:val="002D1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C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7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3292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AHCSHG309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