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46B" w:rsidP="007D0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AHCSHG215 Grind combs and cutters for machine shearing</w:t>
      </w:r>
      <w:r>
        <w:fldChar w:fldCharType="end"/>
      </w:r>
    </w:p>
    <w:p w:rsidR="007D046B" w:rsidP="007D046B">
      <w:pPr>
        <w:pStyle w:val="Version"/>
        <w:sectPr w:rsidSect="00797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B0D" w:rsidP="00797B0D">
      <w:pPr>
        <w:pStyle w:val="SuperHeading"/>
      </w:pPr>
      <w:r w:rsidRPr="00797B0D">
        <w:t>AHCSHG215 Grind combs and cutters for machine shearing</w:t>
      </w:r>
    </w:p>
    <w:p w:rsidR="00000000" w:rsidRPr="00797B0D" w:rsidP="00797B0D">
      <w:pPr>
        <w:pStyle w:val="Heading1"/>
      </w:pPr>
      <w:bookmarkStart w:id="1" w:name="O_1287927"/>
      <w:bookmarkEnd w:id="1"/>
      <w:r w:rsidRPr="00797B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Comments</w:t>
            </w:r>
          </w:p>
        </w:tc>
      </w:tr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 xml:space="preserve">Release 1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0D" w:rsidP="00797B0D">
            <w:pPr>
              <w:pStyle w:val="BodyText"/>
            </w:pPr>
            <w:r w:rsidRPr="00797B0D">
              <w:t>This version released with AHC Agriculture, Horticulture and Conservation and Land Management Training Package Release 11.0.</w:t>
            </w:r>
          </w:p>
        </w:tc>
      </w:tr>
    </w:tbl>
    <w:p w:rsidR="00000000" w:rsidRPr="00797B0D" w:rsidP="00797B0D">
      <w:pPr>
        <w:pStyle w:val="BodyText"/>
      </w:pPr>
    </w:p>
    <w:p w:rsidR="00000000" w:rsidRPr="00797B0D" w:rsidP="00797B0D">
      <w:pPr>
        <w:pStyle w:val="AllowPageBreak"/>
      </w:pPr>
    </w:p>
    <w:p w:rsidR="00000000" w:rsidRPr="00797B0D" w:rsidP="00797B0D">
      <w:pPr>
        <w:pStyle w:val="Heading1"/>
      </w:pPr>
      <w:bookmarkStart w:id="2" w:name="O_1287928"/>
      <w:bookmarkEnd w:id="2"/>
      <w:r w:rsidRPr="00797B0D">
        <w:t>Application</w:t>
      </w:r>
    </w:p>
    <w:p w:rsidR="00000000" w:rsidRPr="00797B0D" w:rsidP="007D046B">
      <w:pPr>
        <w:pStyle w:val="BodyText"/>
      </w:pPr>
      <w:r w:rsidRPr="00797B0D">
        <w:t>This unit of competency descri</w:t>
      </w:r>
      <w:r w:rsidRPr="00797B0D">
        <w:t>bes the skills and knowledge required to grind combs and cutters for machine shearing so that they are effective for the type of wool and shearing conditions.</w:t>
      </w:r>
    </w:p>
    <w:p w:rsidR="00000000" w:rsidRPr="00797B0D" w:rsidP="007D046B">
      <w:pPr>
        <w:pStyle w:val="BodyText"/>
      </w:pPr>
      <w:r w:rsidRPr="00797B0D">
        <w:t>This unit applies to individuals who work under general supervision and exercise limited autonomy</w:t>
      </w:r>
      <w:r w:rsidRPr="00797B0D">
        <w:t xml:space="preserve"> with some accountability for their own work.</w:t>
      </w:r>
    </w:p>
    <w:p w:rsidR="00000000" w:rsidRPr="00797B0D" w:rsidP="007D046B">
      <w:pPr>
        <w:pStyle w:val="BodyText"/>
      </w:pPr>
      <w:r w:rsidRPr="00797B0D">
        <w:t>All work must be carried out to comply with workplace procedures and standards, health and safety regulations, and biosecurity requirements and practices.</w:t>
      </w:r>
    </w:p>
    <w:p w:rsidR="00000000" w:rsidRPr="00797B0D" w:rsidP="007D046B">
      <w:pPr>
        <w:pStyle w:val="BodyText"/>
      </w:pPr>
      <w:r w:rsidRPr="00797B0D">
        <w:t>No licensing, legislative or certification requirements</w:t>
      </w:r>
      <w:r w:rsidRPr="00797B0D">
        <w:t xml:space="preserve"> are known to apply to this unit at the time of publication.</w:t>
      </w:r>
    </w:p>
    <w:p w:rsidR="00000000" w:rsidRPr="00797B0D" w:rsidP="00797B0D">
      <w:pPr>
        <w:pStyle w:val="Heading1"/>
      </w:pPr>
      <w:bookmarkStart w:id="3" w:name="O_1287929"/>
      <w:bookmarkEnd w:id="3"/>
      <w:r w:rsidRPr="00797B0D">
        <w:t>Pre-requisite Unit</w:t>
      </w:r>
    </w:p>
    <w:p w:rsidR="00000000" w:rsidRPr="00797B0D" w:rsidP="007D046B">
      <w:pPr>
        <w:pStyle w:val="BodyText"/>
      </w:pPr>
      <w:r w:rsidRPr="00797B0D">
        <w:t>Nil</w:t>
      </w:r>
    </w:p>
    <w:p w:rsidR="00000000" w:rsidRPr="00797B0D" w:rsidP="00797B0D">
      <w:pPr>
        <w:pStyle w:val="Heading1"/>
      </w:pPr>
      <w:bookmarkStart w:id="4" w:name="O_1287931"/>
      <w:bookmarkEnd w:id="4"/>
      <w:r w:rsidRPr="00797B0D">
        <w:t>Unit Sector</w:t>
      </w:r>
    </w:p>
    <w:p w:rsidR="00000000" w:rsidRPr="00797B0D" w:rsidP="007D046B">
      <w:pPr>
        <w:pStyle w:val="BodyText"/>
      </w:pPr>
      <w:r w:rsidRPr="00797B0D">
        <w:t>Shearing (SHG)</w:t>
      </w:r>
    </w:p>
    <w:p w:rsidR="00000000" w:rsidRPr="00797B0D" w:rsidP="00797B0D">
      <w:pPr>
        <w:pStyle w:val="Heading1"/>
      </w:pPr>
      <w:bookmarkStart w:id="5" w:name="O_1287932"/>
      <w:bookmarkEnd w:id="5"/>
      <w:r w:rsidRPr="00797B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Performance Criteria</w:t>
            </w:r>
          </w:p>
        </w:tc>
      </w:tr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Performance criteria describe the performance needed to demonstrate achievement of the element.</w:t>
            </w:r>
          </w:p>
        </w:tc>
      </w:tr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1. Determine need for sharpening combs and cutters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0D" w:rsidP="00797B0D">
            <w:pPr>
              <w:pStyle w:val="BodyText"/>
            </w:pPr>
            <w:r w:rsidRPr="00797B0D">
              <w:t>1.1 Check combs and cutters for wear and report any issues found t</w:t>
            </w:r>
            <w:r w:rsidRPr="00797B0D">
              <w:t>o supervisor</w:t>
            </w:r>
          </w:p>
          <w:p w:rsidR="00000000" w:rsidRPr="00797B0D" w:rsidP="00797B0D">
            <w:pPr>
              <w:pStyle w:val="BodyText"/>
            </w:pPr>
            <w:r w:rsidRPr="00797B0D">
              <w:t>1.2 Clean combs and cutters prior to grinding in line with work health and safety (WHS) and biosecurity standards</w:t>
            </w:r>
          </w:p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1.3 Communicate with wool harvesting team members to identify potential WHS hazards and report to supervisor</w:t>
            </w:r>
          </w:p>
        </w:tc>
      </w:tr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 xml:space="preserve">2. Prepare grinder </w:t>
            </w:r>
            <w:r w:rsidRPr="00797B0D">
              <w:t>and pendulum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0D" w:rsidP="00797B0D">
            <w:pPr>
              <w:pStyle w:val="BodyText"/>
            </w:pPr>
            <w:r w:rsidRPr="00797B0D">
              <w:t>2.1 Check the grinder and its location for serviceability and safety and report safety hazards to supervisor</w:t>
            </w:r>
          </w:p>
          <w:p w:rsidR="00000000" w:rsidRPr="00797B0D" w:rsidP="00797B0D">
            <w:pPr>
              <w:pStyle w:val="BodyText"/>
            </w:pPr>
            <w:r w:rsidRPr="00797B0D">
              <w:t>2.2 Identify grinder faults or malfunctions and report to supervisor for repair or replacement</w:t>
            </w:r>
          </w:p>
          <w:p w:rsidR="00000000" w:rsidRPr="00797B0D" w:rsidP="00797B0D">
            <w:pPr>
              <w:pStyle w:val="BodyText"/>
            </w:pPr>
            <w:r w:rsidRPr="00797B0D">
              <w:t>2.3 Apply grinding papers to grinder discs according to manufacturer specifications</w:t>
            </w:r>
          </w:p>
          <w:p w:rsidR="00000000" w:rsidRPr="00797B0D" w:rsidP="00797B0D">
            <w:pPr>
              <w:pStyle w:val="BodyText"/>
            </w:pPr>
            <w:r w:rsidRPr="00797B0D">
              <w:t>2.4 Store and care for grinding papers in line with workplace procedures</w:t>
            </w:r>
          </w:p>
          <w:p w:rsidR="00000000" w:rsidRPr="00797B0D" w:rsidP="00797B0D">
            <w:pPr>
              <w:pStyle w:val="BodyText"/>
            </w:pPr>
            <w:r w:rsidRPr="00797B0D">
              <w:t>2.5 Check, clean and adjust the bottom bar of the pendulum to ensure it is true</w:t>
            </w:r>
          </w:p>
          <w:p w:rsidR="00000000" w:rsidRPr="00797B0D" w:rsidP="00797B0D">
            <w:pPr>
              <w:pStyle w:val="BodyText"/>
            </w:pPr>
            <w:r w:rsidRPr="00797B0D">
              <w:t>2.6 Confirm that th</w:t>
            </w:r>
            <w:r w:rsidRPr="00797B0D">
              <w:t>e pressure bar and pins are set at the recommended distance according to manufacturer specifications</w:t>
            </w:r>
          </w:p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2.7 Check the height setting of the pendulum</w:t>
            </w:r>
          </w:p>
        </w:tc>
      </w:tr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3. Carry out grinding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0D" w:rsidP="00797B0D">
            <w:pPr>
              <w:pStyle w:val="BodyText"/>
            </w:pPr>
            <w:r w:rsidRPr="00797B0D">
              <w:t xml:space="preserve">3.1 Use appropriate eye personal protective equipment (PPE) while grinding </w:t>
            </w:r>
          </w:p>
          <w:p w:rsidR="00000000" w:rsidRPr="00797B0D" w:rsidP="00797B0D">
            <w:pPr>
              <w:pStyle w:val="BodyText"/>
            </w:pPr>
            <w:r w:rsidRPr="00797B0D">
              <w:t xml:space="preserve">3.2 Secure </w:t>
            </w:r>
            <w:r w:rsidRPr="00797B0D">
              <w:t>comb or cutter for grinding according to manufacturer specifications</w:t>
            </w:r>
          </w:p>
          <w:p w:rsidR="00000000" w:rsidRPr="00797B0D" w:rsidP="00797B0D">
            <w:pPr>
              <w:pStyle w:val="BodyText"/>
            </w:pPr>
            <w:r w:rsidRPr="00797B0D">
              <w:t>3.3 Apply correct pressure while grinding in line with workplace standards</w:t>
            </w:r>
          </w:p>
          <w:p w:rsidR="00000000" w:rsidRPr="00797B0D" w:rsidP="00797B0D">
            <w:pPr>
              <w:pStyle w:val="BodyText"/>
            </w:pPr>
            <w:r w:rsidRPr="00797B0D">
              <w:t>3.4 Grind combs and cutters as directed and according to WHS</w:t>
            </w:r>
          </w:p>
          <w:p w:rsidR="00000000" w:rsidRPr="00797B0D" w:rsidP="00797B0D">
            <w:pPr>
              <w:pStyle w:val="BodyText"/>
            </w:pPr>
            <w:r w:rsidRPr="00797B0D">
              <w:t>3.5 Check combs and cutters visually for even grind</w:t>
            </w:r>
            <w:r w:rsidRPr="00797B0D">
              <w:t>ing</w:t>
            </w:r>
          </w:p>
          <w:p w:rsidR="00000000" w:rsidRPr="00797B0D" w:rsidP="00797B0D">
            <w:pPr>
              <w:pStyle w:val="BodyText"/>
            </w:pPr>
            <w:r w:rsidRPr="00797B0D">
              <w:t>3.6 Identify and rectify faults or unevenness in grinding</w:t>
            </w:r>
          </w:p>
          <w:p w:rsidR="00000000" w:rsidRPr="00797B0D" w:rsidP="00797B0D">
            <w:pPr>
              <w:pStyle w:val="BodyText"/>
            </w:pPr>
            <w:r w:rsidRPr="00797B0D">
              <w:t>3.7 Ensure grinding wheel is not left running when unattended</w:t>
            </w:r>
          </w:p>
        </w:tc>
      </w:tr>
    </w:tbl>
    <w:p w:rsidR="00000000" w:rsidRPr="00797B0D" w:rsidP="00797B0D">
      <w:pPr>
        <w:pStyle w:val="BodyText"/>
      </w:pPr>
    </w:p>
    <w:p w:rsidR="00000000" w:rsidRPr="00797B0D" w:rsidP="00797B0D">
      <w:pPr>
        <w:pStyle w:val="AllowPageBreak"/>
      </w:pPr>
    </w:p>
    <w:p w:rsidR="00000000" w:rsidRPr="00797B0D" w:rsidP="00797B0D">
      <w:pPr>
        <w:pStyle w:val="Heading1"/>
      </w:pPr>
      <w:bookmarkStart w:id="6" w:name="O_1287933"/>
      <w:bookmarkEnd w:id="6"/>
      <w:r w:rsidRPr="00797B0D">
        <w:t>Foundation Skills</w:t>
      </w:r>
    </w:p>
    <w:p w:rsidR="00000000" w:rsidRPr="007D046B" w:rsidP="007D046B">
      <w:pPr>
        <w:pStyle w:val="BodyText"/>
        <w:rPr>
          <w:i/>
        </w:rPr>
      </w:pPr>
      <w:r w:rsidRPr="007D046B">
        <w:rPr>
          <w:rStyle w:val="Emphasis"/>
        </w:rPr>
        <w:t>This section describes those language, literacy, numeracy and employment skills that are esse</w:t>
      </w:r>
      <w:r w:rsidRPr="007D046B">
        <w:rPr>
          <w:rStyle w:val="Emphasis"/>
        </w:rPr>
        <w:t>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Description</w:t>
            </w:r>
          </w:p>
        </w:tc>
      </w:tr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0D" w:rsidP="00797B0D">
            <w:pPr>
              <w:pStyle w:val="ListBullet"/>
            </w:pPr>
            <w:r w:rsidRPr="00797B0D">
              <w:t>Use clear language and industry terminology to relay information pertaining to combs and cutters for machine shearing</w:t>
            </w:r>
          </w:p>
        </w:tc>
      </w:tr>
    </w:tbl>
    <w:p w:rsidR="00000000" w:rsidRPr="00797B0D" w:rsidP="00797B0D">
      <w:pPr>
        <w:pStyle w:val="BodyText"/>
      </w:pPr>
    </w:p>
    <w:p w:rsidR="00000000" w:rsidRPr="00797B0D" w:rsidP="00797B0D">
      <w:pPr>
        <w:pStyle w:val="AllowPageBreak"/>
      </w:pPr>
    </w:p>
    <w:p w:rsidR="00000000" w:rsidRPr="00797B0D" w:rsidP="00797B0D">
      <w:pPr>
        <w:pStyle w:val="Heading1"/>
      </w:pPr>
      <w:bookmarkStart w:id="7" w:name="O_1287935"/>
      <w:bookmarkEnd w:id="7"/>
      <w:r w:rsidRPr="00797B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Bold"/>
              <w:rPr>
                <w:lang w:val="en-NZ"/>
              </w:rPr>
            </w:pPr>
            <w:r w:rsidRPr="00797B0D">
              <w:t>Equivalence status</w:t>
            </w:r>
          </w:p>
        </w:tc>
      </w:tr>
      <w:tr w:rsidTr="00797B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AHCSHG215 Grind combs and cutters for machine shearing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AHCSHG205 Grind combs and cutters for machine shearing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0D" w:rsidP="00797B0D">
            <w:pPr>
              <w:pStyle w:val="BodyText"/>
            </w:pPr>
            <w:r w:rsidRPr="00797B0D">
              <w:t>Application wording clarified</w:t>
            </w:r>
          </w:p>
          <w:p w:rsidR="00000000" w:rsidRPr="00797B0D" w:rsidP="00797B0D">
            <w:pPr>
              <w:pStyle w:val="BodyText"/>
            </w:pPr>
            <w:r w:rsidRPr="00797B0D">
              <w:t>Changes to performance criteria for clarification</w:t>
            </w:r>
          </w:p>
          <w:p w:rsidR="00000000" w:rsidRPr="00797B0D" w:rsidP="00797B0D">
            <w:pPr>
              <w:pStyle w:val="BodyText"/>
            </w:pPr>
            <w:r w:rsidRPr="00797B0D">
              <w:t>Foundation skills information added</w:t>
            </w:r>
          </w:p>
          <w:p w:rsidR="00000000" w:rsidRPr="00797B0D" w:rsidP="00797B0D">
            <w:pPr>
              <w:pStyle w:val="BodyText"/>
            </w:pPr>
            <w:r w:rsidRPr="00797B0D">
              <w:t>Changes to performance evidence to specify volume and frequency</w:t>
            </w:r>
          </w:p>
          <w:p w:rsidR="00000000" w:rsidRPr="00797B0D" w:rsidP="00797B0D">
            <w:pPr>
              <w:pStyle w:val="BodyText"/>
            </w:pPr>
            <w:r w:rsidRPr="00797B0D">
              <w:t>Knowledge evidence specificity added, and other wording clarified</w:t>
            </w:r>
          </w:p>
          <w:p w:rsidR="00000000" w:rsidP="00797B0D">
            <w:pPr>
              <w:pStyle w:val="BodyText"/>
              <w:rPr>
                <w:lang w:val="en-NZ"/>
              </w:rPr>
            </w:pPr>
            <w:r w:rsidRPr="00797B0D">
              <w:t>Assessment</w:t>
            </w:r>
            <w:r w:rsidRPr="00797B0D">
              <w:t xml:space="preserve">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0D" w:rsidP="00797B0D">
            <w:pPr>
              <w:pStyle w:val="BodyText"/>
            </w:pPr>
            <w:r w:rsidRPr="00797B0D">
              <w:t>Equivalent</w:t>
            </w:r>
          </w:p>
        </w:tc>
      </w:tr>
    </w:tbl>
    <w:p w:rsidR="00000000" w:rsidRPr="00797B0D" w:rsidP="00797B0D">
      <w:pPr>
        <w:pStyle w:val="BodyText"/>
      </w:pPr>
    </w:p>
    <w:p w:rsidR="00000000" w:rsidRPr="00797B0D" w:rsidP="00797B0D">
      <w:pPr>
        <w:pStyle w:val="AllowPageBreak"/>
      </w:pPr>
    </w:p>
    <w:p w:rsidR="00000000" w:rsidRPr="00797B0D" w:rsidP="00797B0D">
      <w:pPr>
        <w:pStyle w:val="Heading1"/>
      </w:pPr>
      <w:bookmarkStart w:id="8" w:name="O_1287942"/>
      <w:bookmarkEnd w:id="8"/>
      <w:r w:rsidRPr="00797B0D">
        <w:t>Links</w:t>
      </w:r>
    </w:p>
    <w:p w:rsidR="00000000" w:rsidRPr="00797B0D" w:rsidP="007D046B">
      <w:pPr>
        <w:pStyle w:val="BodyText"/>
      </w:pPr>
      <w:r w:rsidRPr="00797B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0C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7B0D" w:rsidP="00797B0D"/>
    <w:sectPr w:rsidSect="00797B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0D" w:rsidRPr="007D046B" w:rsidP="007D0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6B" w:rsidP="00797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46B" w:rsidP="00797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046B" w:rsidP="00797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B0D" w:rsidRPr="007D046B" w:rsidP="007D0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46B" w:rsidRPr="002D2AF8" w:rsidP="00797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AHCSHG215 Grind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D046B" w:rsidP="00797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6D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CEA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B0D"/>
  </w:style>
  <w:style w:type="character" w:customStyle="1" w:styleId="Heading1Char">
    <w:name w:val="Heading 1 Char"/>
    <w:basedOn w:val="DefaultParagraphFont"/>
    <w:link w:val="Heading1"/>
    <w:rsid w:val="00797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B0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97B0D"/>
    <w:rPr>
      <w:i/>
    </w:rPr>
  </w:style>
  <w:style w:type="paragraph" w:customStyle="1" w:styleId="SuperHeading">
    <w:name w:val="SuperHeading"/>
    <w:basedOn w:val="Normal"/>
    <w:rsid w:val="00797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7B0D"/>
    <w:rPr>
      <w:b/>
    </w:rPr>
  </w:style>
  <w:style w:type="character" w:customStyle="1" w:styleId="Heading2Char">
    <w:name w:val="Heading 2 Char"/>
    <w:basedOn w:val="DefaultParagraphFont"/>
    <w:link w:val="Heading2"/>
    <w:rsid w:val="00797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B0D"/>
    <w:rPr>
      <w:b/>
      <w:spacing w:val="0"/>
    </w:rPr>
  </w:style>
  <w:style w:type="paragraph" w:customStyle="1" w:styleId="SuperTitle">
    <w:name w:val="SuperTitle"/>
    <w:basedOn w:val="Title"/>
    <w:rsid w:val="00797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B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B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B0D"/>
  </w:style>
  <w:style w:type="paragraph" w:styleId="TableofFigures">
    <w:name w:val="table of figures"/>
    <w:basedOn w:val="Normal"/>
    <w:next w:val="Normal"/>
    <w:semiHidden/>
    <w:rsid w:val="00797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B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B0D"/>
    <w:rPr>
      <w:rFonts w:ascii="Wingdings" w:hAnsi="Wingdings"/>
    </w:rPr>
  </w:style>
  <w:style w:type="paragraph" w:customStyle="1" w:styleId="TableHeading">
    <w:name w:val="Table Heading"/>
    <w:basedOn w:val="HeadingBase"/>
    <w:rsid w:val="00797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B0D"/>
    <w:rPr>
      <w:color w:val="0033CC"/>
      <w:u w:val="none"/>
    </w:rPr>
  </w:style>
  <w:style w:type="paragraph" w:customStyle="1" w:styleId="BodyTextRight">
    <w:name w:val="Body Text Right"/>
    <w:basedOn w:val="BodyText"/>
    <w:rsid w:val="00797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B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B0D"/>
    <w:rPr>
      <w:sz w:val="32"/>
    </w:rPr>
  </w:style>
  <w:style w:type="paragraph" w:customStyle="1" w:styleId="HeadingProcedure">
    <w:name w:val="Heading Procedure"/>
    <w:basedOn w:val="HeadingBase"/>
    <w:next w:val="Normal"/>
    <w:rsid w:val="00797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B0D"/>
    <w:pPr>
      <w:spacing w:before="60" w:after="60"/>
    </w:pPr>
  </w:style>
  <w:style w:type="paragraph" w:styleId="ListContinue">
    <w:name w:val="List Continue"/>
    <w:basedOn w:val="List"/>
    <w:rsid w:val="00797B0D"/>
    <w:pPr>
      <w:ind w:firstLine="0"/>
    </w:pPr>
  </w:style>
  <w:style w:type="paragraph" w:customStyle="1" w:styleId="ListNote">
    <w:name w:val="List Note"/>
    <w:basedOn w:val="List"/>
    <w:rsid w:val="00797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B0D"/>
    <w:rPr>
      <w:rFonts w:ascii="Courier New" w:hAnsi="Courier New"/>
    </w:rPr>
  </w:style>
  <w:style w:type="paragraph" w:customStyle="1" w:styleId="NoteBullet">
    <w:name w:val="Note Bullet"/>
    <w:basedOn w:val="Note"/>
    <w:rsid w:val="00797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B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B0D"/>
    <w:rPr>
      <w:b/>
      <w:smallCaps/>
    </w:rPr>
  </w:style>
  <w:style w:type="paragraph" w:customStyle="1" w:styleId="TableListNumber">
    <w:name w:val="Table List Number"/>
    <w:basedOn w:val="ListNumber"/>
    <w:rsid w:val="00797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B0D"/>
    <w:pPr>
      <w:numPr>
        <w:numId w:val="8"/>
      </w:numPr>
    </w:pPr>
  </w:style>
  <w:style w:type="paragraph" w:customStyle="1" w:styleId="ListAlpha2">
    <w:name w:val="List Alpha 2"/>
    <w:basedOn w:val="List2"/>
    <w:rsid w:val="00797B0D"/>
    <w:pPr>
      <w:numPr>
        <w:numId w:val="7"/>
      </w:numPr>
    </w:pPr>
  </w:style>
  <w:style w:type="paragraph" w:styleId="List2">
    <w:name w:val="List 2"/>
    <w:basedOn w:val="BodyText"/>
    <w:rsid w:val="00797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B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B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B0D"/>
    <w:pPr>
      <w:numPr>
        <w:numId w:val="3"/>
      </w:numPr>
    </w:pPr>
  </w:style>
  <w:style w:type="paragraph" w:styleId="ListContinue2">
    <w:name w:val="List Continue 2"/>
    <w:basedOn w:val="List2"/>
    <w:rsid w:val="00797B0D"/>
    <w:pPr>
      <w:ind w:firstLine="0"/>
    </w:pPr>
  </w:style>
  <w:style w:type="paragraph" w:styleId="ListContinue3">
    <w:name w:val="List Continue 3"/>
    <w:basedOn w:val="List3"/>
    <w:rsid w:val="00797B0D"/>
    <w:pPr>
      <w:ind w:left="1021" w:firstLine="0"/>
    </w:pPr>
  </w:style>
  <w:style w:type="paragraph" w:styleId="ListContinue4">
    <w:name w:val="List Continue 4"/>
    <w:basedOn w:val="List4"/>
    <w:rsid w:val="00797B0D"/>
    <w:pPr>
      <w:ind w:firstLine="0"/>
    </w:pPr>
  </w:style>
  <w:style w:type="paragraph" w:styleId="ListContinue5">
    <w:name w:val="List Continue 5"/>
    <w:basedOn w:val="List5"/>
    <w:rsid w:val="00797B0D"/>
    <w:pPr>
      <w:ind w:firstLine="0"/>
    </w:pPr>
  </w:style>
  <w:style w:type="paragraph" w:styleId="ListNumber3">
    <w:name w:val="List Number 3"/>
    <w:basedOn w:val="List3"/>
    <w:rsid w:val="00797B0D"/>
    <w:pPr>
      <w:numPr>
        <w:numId w:val="4"/>
      </w:numPr>
    </w:pPr>
  </w:style>
  <w:style w:type="paragraph" w:styleId="ListNumber4">
    <w:name w:val="List Number 4"/>
    <w:basedOn w:val="List4"/>
    <w:rsid w:val="00797B0D"/>
    <w:pPr>
      <w:numPr>
        <w:numId w:val="5"/>
      </w:numPr>
    </w:pPr>
  </w:style>
  <w:style w:type="paragraph" w:styleId="ListNumber5">
    <w:name w:val="List Number 5"/>
    <w:basedOn w:val="List5"/>
    <w:rsid w:val="00797B0D"/>
    <w:pPr>
      <w:numPr>
        <w:numId w:val="6"/>
      </w:numPr>
    </w:pPr>
  </w:style>
  <w:style w:type="paragraph" w:styleId="BlockText">
    <w:name w:val="Block Text"/>
    <w:basedOn w:val="Normal"/>
    <w:rsid w:val="00797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B0D"/>
    <w:rPr>
      <w:sz w:val="16"/>
      <w:vertAlign w:val="superscript"/>
    </w:rPr>
  </w:style>
  <w:style w:type="character" w:customStyle="1" w:styleId="Symbols">
    <w:name w:val="Symbols"/>
    <w:basedOn w:val="DefaultParagraphFont"/>
    <w:rsid w:val="00797B0D"/>
    <w:rPr>
      <w:rFonts w:ascii="Symbol" w:hAnsi="Symbol"/>
    </w:rPr>
  </w:style>
  <w:style w:type="character" w:customStyle="1" w:styleId="MenuOptions">
    <w:name w:val="Menu Options"/>
    <w:basedOn w:val="DefaultParagraphFont"/>
    <w:rsid w:val="00797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B0D"/>
    <w:rPr>
      <w:b/>
    </w:rPr>
  </w:style>
  <w:style w:type="character" w:customStyle="1" w:styleId="Underlined">
    <w:name w:val="Underlined"/>
    <w:basedOn w:val="DefaultParagraphFont"/>
    <w:rsid w:val="00797B0D"/>
    <w:rPr>
      <w:u w:val="single"/>
    </w:rPr>
  </w:style>
  <w:style w:type="paragraph" w:customStyle="1" w:styleId="TableBodyTextRight">
    <w:name w:val="Table Body Text Right"/>
    <w:basedOn w:val="TableBodyText"/>
    <w:rsid w:val="00797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B0D"/>
    <w:rPr>
      <w:sz w:val="18"/>
    </w:rPr>
  </w:style>
  <w:style w:type="paragraph" w:customStyle="1" w:styleId="BodySmallRight">
    <w:name w:val="Body Small Right"/>
    <w:basedOn w:val="BodyTextRight"/>
    <w:rsid w:val="00797B0D"/>
    <w:rPr>
      <w:sz w:val="18"/>
      <w:szCs w:val="18"/>
    </w:rPr>
  </w:style>
  <w:style w:type="paragraph" w:customStyle="1" w:styleId="MarginEdition">
    <w:name w:val="Margin Edition"/>
    <w:basedOn w:val="MarginNote"/>
    <w:rsid w:val="00797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B0D"/>
    <w:rPr>
      <w:sz w:val="2"/>
      <w:szCs w:val="2"/>
    </w:rPr>
  </w:style>
  <w:style w:type="character" w:customStyle="1" w:styleId="Small">
    <w:name w:val="Small"/>
    <w:basedOn w:val="DefaultParagraphFont"/>
    <w:rsid w:val="00797B0D"/>
    <w:rPr>
      <w:sz w:val="16"/>
    </w:rPr>
  </w:style>
  <w:style w:type="paragraph" w:customStyle="1" w:styleId="WideTable">
    <w:name w:val="Wide Table"/>
    <w:basedOn w:val="Normal"/>
    <w:rsid w:val="00797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B0D"/>
  </w:style>
  <w:style w:type="paragraph" w:styleId="Quote">
    <w:name w:val="Quote"/>
    <w:basedOn w:val="Heading1"/>
    <w:link w:val="QuoteChar"/>
    <w:qFormat/>
    <w:rsid w:val="00797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B0D"/>
    <w:pPr>
      <w:pageBreakBefore/>
    </w:pPr>
  </w:style>
  <w:style w:type="paragraph" w:customStyle="1" w:styleId="Border">
    <w:name w:val="Border"/>
    <w:basedOn w:val="Normal"/>
    <w:qFormat/>
    <w:rsid w:val="00797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B0D"/>
    <w:rPr>
      <w:u w:val="single"/>
    </w:rPr>
  </w:style>
  <w:style w:type="character" w:customStyle="1" w:styleId="BoldandItalics">
    <w:name w:val="Bold and Italics"/>
    <w:qFormat/>
    <w:rsid w:val="00797B0D"/>
    <w:rPr>
      <w:b/>
      <w:i/>
      <w:u w:val="none"/>
    </w:rPr>
  </w:style>
  <w:style w:type="paragraph" w:styleId="BalloonText">
    <w:name w:val="Balloon Text"/>
    <w:basedOn w:val="Normal"/>
    <w:link w:val="BalloonTextChar"/>
    <w:rsid w:val="00797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B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0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3335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AHCSHG215 Grind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