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044F" w:rsidP="00BA04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AHCSDT409 Perform a tetrazolium test</w:t>
      </w:r>
      <w:r>
        <w:fldChar w:fldCharType="end"/>
      </w:r>
    </w:p>
    <w:p w:rsidR="00BA044F" w:rsidP="00BA044F">
      <w:pPr>
        <w:pStyle w:val="Version"/>
        <w:sectPr w:rsidSect="00F15C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5CA6" w:rsidP="00F15CA6">
      <w:pPr>
        <w:pStyle w:val="SuperHeading"/>
      </w:pPr>
      <w:r w:rsidRPr="00F15CA6">
        <w:t>AHCSDT409 Perform a tetrazolium test</w:t>
      </w:r>
    </w:p>
    <w:p w:rsidR="00000000" w:rsidRPr="00F15CA6" w:rsidP="00F15CA6">
      <w:pPr>
        <w:pStyle w:val="Heading1"/>
      </w:pPr>
      <w:bookmarkStart w:id="1" w:name="O_885384"/>
      <w:bookmarkEnd w:id="1"/>
      <w:r w:rsidRPr="00F15C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15C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A6">
            <w:pPr>
              <w:pStyle w:val="TableHeading"/>
              <w:rPr>
                <w:lang w:val="en-NZ"/>
              </w:rPr>
            </w:pPr>
            <w:r w:rsidRPr="00F15CA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A6">
            <w:pPr>
              <w:pStyle w:val="TableHeading"/>
              <w:rPr>
                <w:lang w:val="en-NZ"/>
              </w:rPr>
            </w:pPr>
            <w:r w:rsidRPr="00F15CA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A6">
            <w:pPr>
              <w:pStyle w:val="TableHeading"/>
              <w:rPr>
                <w:lang w:val="en-NZ"/>
              </w:rPr>
            </w:pPr>
            <w:r w:rsidRPr="00F15CA6">
              <w:t>Comment</w:t>
            </w:r>
          </w:p>
        </w:tc>
      </w:tr>
      <w:tr w:rsidTr="00F15C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A6">
            <w:pPr>
              <w:pStyle w:val="BodyText"/>
              <w:rPr>
                <w:lang w:val="en-NZ"/>
              </w:rPr>
            </w:pPr>
            <w:r w:rsidRPr="00F15CA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A6">
            <w:pPr>
              <w:pStyle w:val="BodyText"/>
              <w:rPr>
                <w:lang w:val="en-NZ"/>
              </w:rPr>
            </w:pPr>
            <w:r w:rsidRPr="00F15CA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CA6" w:rsidP="00F15CA6">
            <w:pPr>
              <w:pStyle w:val="BodyText"/>
            </w:pPr>
            <w:r w:rsidRPr="00F15CA6">
              <w:t>Initial release</w:t>
            </w:r>
          </w:p>
        </w:tc>
      </w:tr>
    </w:tbl>
    <w:p w:rsidR="00000000" w:rsidRPr="00F15CA6" w:rsidP="00F15CA6">
      <w:pPr>
        <w:pStyle w:val="BodyText"/>
      </w:pPr>
    </w:p>
    <w:p w:rsidR="00000000" w:rsidRPr="00F15CA6" w:rsidP="00F15CA6">
      <w:pPr>
        <w:pStyle w:val="AllowPageBreak"/>
      </w:pPr>
    </w:p>
    <w:p w:rsidR="00000000" w:rsidRPr="00F15CA6" w:rsidP="00F15CA6">
      <w:pPr>
        <w:pStyle w:val="Heading1"/>
      </w:pPr>
      <w:bookmarkStart w:id="2" w:name="O_885385"/>
      <w:bookmarkEnd w:id="2"/>
      <w:r w:rsidRPr="00F15CA6">
        <w:t>Application</w:t>
      </w:r>
    </w:p>
    <w:p w:rsidR="00000000" w:rsidRPr="00F15CA6" w:rsidP="00BA044F">
      <w:pPr>
        <w:pStyle w:val="BodyText"/>
      </w:pPr>
      <w:r w:rsidRPr="00F15CA6">
        <w:t>This unit of competency describes the skills and knowledge required to perform a tetrazolium test to assess seed viability or germination potential.</w:t>
      </w:r>
    </w:p>
    <w:p w:rsidR="00000000" w:rsidRPr="00F15CA6" w:rsidP="00BA044F">
      <w:pPr>
        <w:pStyle w:val="BodyText"/>
      </w:pPr>
      <w:r w:rsidRPr="00F15CA6">
        <w:t>It applies to senior seed analysts who analyse information and exercise judgement to complete a range of advanced skilled activities and demonstrate deep knowledge in a specific technical area. They have accountability for the work of others and analyse, d</w:t>
      </w:r>
      <w:r w:rsidRPr="00F15CA6">
        <w:t>esign and communicate solutions to a range of complex problems. All work is carried out to comply with workplace procedures.</w:t>
      </w:r>
    </w:p>
    <w:p w:rsidR="00000000" w:rsidRPr="00F15CA6" w:rsidP="00BA044F">
      <w:pPr>
        <w:pStyle w:val="BodyText"/>
      </w:pPr>
      <w:r w:rsidRPr="00F15CA6">
        <w:t>No occupational licensing, legislative or certification requirements are known to apply to this unit at the time of publication.</w:t>
      </w:r>
    </w:p>
    <w:p w:rsidR="00000000" w:rsidRPr="00F15CA6" w:rsidP="00F15CA6">
      <w:pPr>
        <w:pStyle w:val="Heading1"/>
      </w:pPr>
      <w:bookmarkStart w:id="3" w:name="O_885386"/>
      <w:bookmarkEnd w:id="3"/>
      <w:r w:rsidRPr="00F15CA6">
        <w:t>Pre-requisite Unit</w:t>
      </w:r>
    </w:p>
    <w:p w:rsidR="00000000" w:rsidRPr="00F15CA6" w:rsidP="00BA044F">
      <w:pPr>
        <w:pStyle w:val="BodyText"/>
      </w:pPr>
      <w:r w:rsidRPr="00F15CA6">
        <w:t>Nil.</w:t>
      </w:r>
    </w:p>
    <w:p w:rsidR="00000000" w:rsidRPr="00F15CA6" w:rsidP="00F15CA6">
      <w:pPr>
        <w:pStyle w:val="Heading1"/>
      </w:pPr>
      <w:bookmarkStart w:id="4" w:name="O_885388"/>
      <w:bookmarkEnd w:id="4"/>
      <w:r w:rsidRPr="00F15CA6">
        <w:t>Unit Sector</w:t>
      </w:r>
    </w:p>
    <w:p w:rsidR="00000000" w:rsidRPr="00F15CA6" w:rsidP="00BA044F">
      <w:pPr>
        <w:pStyle w:val="BodyText"/>
      </w:pPr>
      <w:r w:rsidRPr="00F15CA6">
        <w:t>Seed testing (SDT)</w:t>
      </w:r>
    </w:p>
    <w:p w:rsidR="00000000" w:rsidRPr="00F15CA6" w:rsidP="00F15CA6">
      <w:pPr>
        <w:pStyle w:val="Heading1"/>
      </w:pPr>
      <w:bookmarkStart w:id="5" w:name="O_885389"/>
      <w:bookmarkEnd w:id="5"/>
      <w:r w:rsidRPr="00F15CA6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BA044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A6">
            <w:pPr>
              <w:pStyle w:val="TableHeading"/>
              <w:rPr>
                <w:lang w:val="en-NZ"/>
              </w:rPr>
            </w:pPr>
            <w:r w:rsidRPr="00F15CA6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A6">
            <w:pPr>
              <w:pStyle w:val="TableHeading"/>
              <w:rPr>
                <w:lang w:val="en-NZ"/>
              </w:rPr>
            </w:pPr>
            <w:r w:rsidRPr="00F15CA6">
              <w:t>Performance criteria</w:t>
            </w:r>
          </w:p>
        </w:tc>
      </w:tr>
      <w:tr w:rsidTr="00BA044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A6">
            <w:pPr>
              <w:pStyle w:val="BodyText"/>
              <w:rPr>
                <w:lang w:val="en-NZ"/>
              </w:rPr>
            </w:pPr>
            <w:r w:rsidRPr="00F15CA6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A6">
            <w:pPr>
              <w:pStyle w:val="BodyText"/>
              <w:rPr>
                <w:lang w:val="en-NZ"/>
              </w:rPr>
            </w:pPr>
            <w:r w:rsidRPr="00F15CA6">
              <w:t>Performance criteria describe the performance needed to demonstrate achievement of the element.</w:t>
            </w:r>
          </w:p>
        </w:tc>
      </w:tr>
      <w:tr w:rsidTr="00BA044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A6">
            <w:pPr>
              <w:pStyle w:val="List"/>
              <w:rPr>
                <w:lang w:val="en-NZ"/>
              </w:rPr>
            </w:pPr>
            <w:r w:rsidRPr="00F15CA6">
              <w:t>1.</w:t>
            </w:r>
            <w:r w:rsidRPr="00F15CA6">
              <w:tab/>
              <w:t>Prepare replicates  for testing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CA6" w:rsidP="00F15CA6">
            <w:pPr>
              <w:pStyle w:val="List"/>
            </w:pPr>
            <w:r w:rsidRPr="00F15CA6">
              <w:t>1.1</w:t>
            </w:r>
            <w:r w:rsidRPr="00F15CA6">
              <w:tab/>
              <w:t xml:space="preserve">Draw seeds from the pure seed fraction for the number of replicates to be tested ensuring there is no selection of seed </w:t>
            </w:r>
            <w:r w:rsidRPr="00F15CA6">
              <w:t>which may cause biased results</w:t>
            </w:r>
          </w:p>
          <w:p w:rsidR="00000000" w:rsidP="00F15CA6">
            <w:pPr>
              <w:pStyle w:val="List"/>
              <w:rPr>
                <w:lang w:val="en-NZ"/>
              </w:rPr>
            </w:pPr>
            <w:r w:rsidRPr="00F15CA6">
              <w:t>1.2</w:t>
            </w:r>
            <w:r w:rsidRPr="00F15CA6">
              <w:tab/>
              <w:t>Use safe work practices and personal protective equipment</w:t>
            </w:r>
          </w:p>
        </w:tc>
      </w:tr>
      <w:tr w:rsidTr="00BA044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A6">
            <w:pPr>
              <w:pStyle w:val="List"/>
              <w:rPr>
                <w:lang w:val="en-NZ"/>
              </w:rPr>
            </w:pPr>
            <w:r w:rsidRPr="00F15CA6">
              <w:t>2.</w:t>
            </w:r>
            <w:r w:rsidRPr="00F15CA6">
              <w:tab/>
              <w:t>Prepare seed and tetrazolium solution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CA6" w:rsidP="00F15CA6">
            <w:pPr>
              <w:pStyle w:val="List"/>
            </w:pPr>
            <w:r w:rsidRPr="00F15CA6">
              <w:t>2.1</w:t>
            </w:r>
            <w:r w:rsidRPr="00F15CA6">
              <w:tab/>
              <w:t>Pre-moisten seed under prescribed temperature and light conditions to reduce possibility of injury to seeds when punc</w:t>
            </w:r>
            <w:r w:rsidRPr="00F15CA6">
              <w:t>turing or cutting and to enable penetration of the tetrazolium solution</w:t>
            </w:r>
          </w:p>
          <w:p w:rsidR="00000000" w:rsidRPr="00F15CA6" w:rsidP="00F15CA6">
            <w:pPr>
              <w:pStyle w:val="List"/>
            </w:pPr>
            <w:r w:rsidRPr="00F15CA6">
              <w:t>2.2</w:t>
            </w:r>
            <w:r w:rsidRPr="00F15CA6">
              <w:tab/>
              <w:t>Remove sticky mucilage from seeds as necessary</w:t>
            </w:r>
          </w:p>
          <w:p w:rsidR="00000000" w:rsidRPr="00F15CA6" w:rsidP="00F15CA6">
            <w:pPr>
              <w:pStyle w:val="List"/>
            </w:pPr>
            <w:r w:rsidRPr="00F15CA6">
              <w:t>2.3</w:t>
            </w:r>
            <w:r w:rsidRPr="00F15CA6">
              <w:tab/>
              <w:t>Expose seed tissue before staining as appropriate for the species being tested</w:t>
            </w:r>
          </w:p>
          <w:p w:rsidR="00000000" w:rsidRPr="00F15CA6" w:rsidP="00F15CA6">
            <w:pPr>
              <w:pStyle w:val="List"/>
            </w:pPr>
            <w:r w:rsidRPr="00F15CA6">
              <w:t>2.4</w:t>
            </w:r>
            <w:r w:rsidRPr="00F15CA6">
              <w:tab/>
              <w:t>Keep seeds moist before testing</w:t>
            </w:r>
          </w:p>
          <w:p w:rsidR="00000000" w:rsidP="00F15CA6">
            <w:pPr>
              <w:pStyle w:val="List"/>
              <w:rPr>
                <w:lang w:val="en-NZ"/>
              </w:rPr>
            </w:pPr>
            <w:r w:rsidRPr="00F15CA6">
              <w:t>2.5</w:t>
            </w:r>
            <w:r w:rsidRPr="00F15CA6">
              <w:tab/>
              <w:t>Prepare te</w:t>
            </w:r>
            <w:r w:rsidRPr="00F15CA6">
              <w:t>trazolium solution using distilled water and add trace amounts of fungicide or antibiotics to solution if necessary for the species being tested</w:t>
            </w:r>
          </w:p>
        </w:tc>
      </w:tr>
      <w:tr w:rsidTr="00BA044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A6">
            <w:pPr>
              <w:pStyle w:val="List"/>
              <w:rPr>
                <w:lang w:val="en-NZ"/>
              </w:rPr>
            </w:pPr>
            <w:r w:rsidRPr="00F15CA6">
              <w:t>3.</w:t>
            </w:r>
            <w:r w:rsidRPr="00F15CA6">
              <w:tab/>
              <w:t xml:space="preserve">Stain with tetrazolium solution 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CA6" w:rsidP="00F15CA6">
            <w:pPr>
              <w:pStyle w:val="List"/>
            </w:pPr>
            <w:r w:rsidRPr="00F15CA6">
              <w:t>3.1</w:t>
            </w:r>
            <w:r w:rsidRPr="00F15CA6">
              <w:tab/>
              <w:t>Immerse seeds in tetrazolium solution</w:t>
            </w:r>
          </w:p>
          <w:p w:rsidR="00000000" w:rsidRPr="00F15CA6" w:rsidP="00F15CA6">
            <w:pPr>
              <w:pStyle w:val="List"/>
            </w:pPr>
            <w:r w:rsidRPr="00F15CA6">
              <w:t>3.2</w:t>
            </w:r>
            <w:r w:rsidRPr="00F15CA6">
              <w:tab/>
            </w:r>
            <w:r w:rsidRPr="00F15CA6">
              <w:t>Maintain test at a temperature within the range  20 to 40°C, and maintain low light levels to facilitate staining</w:t>
            </w:r>
          </w:p>
          <w:p w:rsidR="00000000" w:rsidRPr="00F15CA6" w:rsidP="00F15CA6">
            <w:pPr>
              <w:pStyle w:val="List"/>
            </w:pPr>
            <w:r w:rsidRPr="00F15CA6">
              <w:t>3.3</w:t>
            </w:r>
            <w:r w:rsidRPr="00F15CA6">
              <w:tab/>
              <w:t>Increase duration of staining if temperatures below 30°C are used or decrease if higher temperatures are used</w:t>
            </w:r>
          </w:p>
          <w:p w:rsidR="00000000" w:rsidP="00F15CA6">
            <w:pPr>
              <w:pStyle w:val="List"/>
              <w:rPr>
                <w:lang w:val="en-NZ"/>
              </w:rPr>
            </w:pPr>
            <w:r w:rsidRPr="00F15CA6">
              <w:t>3.4</w:t>
            </w:r>
            <w:r w:rsidRPr="00F15CA6">
              <w:tab/>
              <w:t>Decant the solution at e</w:t>
            </w:r>
            <w:r w:rsidRPr="00F15CA6">
              <w:t>nd of staining period, rinse seeds with water and keep damp</w:t>
            </w:r>
          </w:p>
        </w:tc>
      </w:tr>
      <w:tr w:rsidTr="00BA044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A6">
            <w:pPr>
              <w:pStyle w:val="List"/>
              <w:rPr>
                <w:lang w:val="en-NZ"/>
              </w:rPr>
            </w:pPr>
            <w:r w:rsidRPr="00F15CA6">
              <w:t>4.</w:t>
            </w:r>
            <w:r w:rsidRPr="00F15CA6">
              <w:tab/>
              <w:t>Evaluate test results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CA6" w:rsidP="00F15CA6">
            <w:pPr>
              <w:pStyle w:val="List"/>
            </w:pPr>
            <w:r w:rsidRPr="00F15CA6">
              <w:t>4.1</w:t>
            </w:r>
            <w:r w:rsidRPr="00F15CA6">
              <w:tab/>
              <w:t>Examine and evaluate each seed as viable or non-viable based on staining patterns applicable to the species being tested</w:t>
            </w:r>
          </w:p>
          <w:p w:rsidR="00000000" w:rsidRPr="00F15CA6" w:rsidP="00F15CA6">
            <w:pPr>
              <w:pStyle w:val="List"/>
            </w:pPr>
            <w:r w:rsidRPr="00F15CA6">
              <w:t>4.2</w:t>
            </w:r>
            <w:r w:rsidRPr="00F15CA6">
              <w:tab/>
              <w:t>Count the number of seeds considered viab</w:t>
            </w:r>
            <w:r w:rsidRPr="00F15CA6">
              <w:t>le in each replicate</w:t>
            </w:r>
          </w:p>
          <w:p w:rsidR="00000000" w:rsidP="00F15CA6">
            <w:pPr>
              <w:pStyle w:val="List"/>
              <w:rPr>
                <w:lang w:val="en-NZ"/>
              </w:rPr>
            </w:pPr>
            <w:r w:rsidRPr="00F15CA6">
              <w:t>4.3</w:t>
            </w:r>
            <w:r w:rsidRPr="00F15CA6">
              <w:tab/>
              <w:t>Calculate the percentage of viable seed in each replicate and determine average percentage of viable seed across all replicates</w:t>
            </w:r>
          </w:p>
        </w:tc>
      </w:tr>
      <w:tr w:rsidTr="00BA044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A6">
            <w:pPr>
              <w:pStyle w:val="List"/>
              <w:rPr>
                <w:lang w:val="en-NZ"/>
              </w:rPr>
            </w:pPr>
            <w:r w:rsidRPr="00F15CA6">
              <w:t>5.</w:t>
            </w:r>
            <w:r w:rsidRPr="00F15CA6">
              <w:tab/>
              <w:t>Finalise reporting and clean up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CA6" w:rsidP="00F15CA6">
            <w:pPr>
              <w:pStyle w:val="List"/>
            </w:pPr>
            <w:r w:rsidRPr="00F15CA6">
              <w:t>5.1</w:t>
            </w:r>
            <w:r w:rsidRPr="00F15CA6">
              <w:tab/>
              <w:t>Record and report results of test</w:t>
            </w:r>
          </w:p>
          <w:p w:rsidR="00000000" w:rsidRPr="00F15CA6" w:rsidP="00F15CA6">
            <w:pPr>
              <w:pStyle w:val="List"/>
            </w:pPr>
            <w:r w:rsidRPr="00F15CA6">
              <w:t>5.2</w:t>
            </w:r>
            <w:r w:rsidRPr="00F15CA6">
              <w:tab/>
              <w:t>Collect and dispose of la</w:t>
            </w:r>
            <w:r w:rsidRPr="00F15CA6">
              <w:t>boratory and hazardous waste</w:t>
            </w:r>
          </w:p>
          <w:p w:rsidR="00000000" w:rsidRPr="00F15CA6" w:rsidP="00F15CA6">
            <w:pPr>
              <w:pStyle w:val="List"/>
            </w:pPr>
            <w:r w:rsidRPr="00F15CA6">
              <w:t>5.3</w:t>
            </w:r>
            <w:r w:rsidRPr="00F15CA6">
              <w:tab/>
              <w:t>Clean apparatus and equipment used in tetrazolium test and dispose of used chemicals and solutions safely</w:t>
            </w:r>
          </w:p>
        </w:tc>
      </w:tr>
    </w:tbl>
    <w:p w:rsidR="00000000" w:rsidRPr="00F15CA6" w:rsidP="00F15CA6">
      <w:pPr>
        <w:pStyle w:val="BodyText"/>
      </w:pPr>
    </w:p>
    <w:p w:rsidR="00000000" w:rsidRPr="00F15CA6" w:rsidP="00F15CA6">
      <w:pPr>
        <w:pStyle w:val="AllowPageBreak"/>
      </w:pPr>
    </w:p>
    <w:p w:rsidR="00000000" w:rsidRPr="00F15CA6" w:rsidP="00F15CA6">
      <w:pPr>
        <w:pStyle w:val="Heading1"/>
      </w:pPr>
      <w:bookmarkStart w:id="6" w:name="O_885390"/>
      <w:bookmarkEnd w:id="6"/>
      <w:r w:rsidRPr="00F15CA6">
        <w:t>Foundation Skills</w:t>
      </w:r>
    </w:p>
    <w:p w:rsidR="00000000" w:rsidRPr="00F15CA6" w:rsidP="00BA044F">
      <w:pPr>
        <w:pStyle w:val="BodyText"/>
      </w:pPr>
      <w:r w:rsidRPr="00F15CA6">
        <w:t>Foundation Skills essential to performance are explicit in the performance crite</w:t>
      </w:r>
      <w:r w:rsidRPr="00F15CA6">
        <w:t>ria of this unit of competency.</w:t>
      </w:r>
    </w:p>
    <w:p w:rsidR="00000000" w:rsidRPr="00F15CA6" w:rsidP="00F15CA6">
      <w:pPr>
        <w:pStyle w:val="Heading1"/>
      </w:pPr>
      <w:bookmarkStart w:id="7" w:name="O_885391"/>
      <w:bookmarkEnd w:id="7"/>
      <w:r w:rsidRPr="00F15CA6">
        <w:t>Range of Conditions</w:t>
      </w:r>
    </w:p>
    <w:p w:rsidR="00000000" w:rsidRPr="00F15CA6" w:rsidP="00F15CA6">
      <w:pPr>
        <w:pStyle w:val="Heading1"/>
      </w:pPr>
      <w:bookmarkStart w:id="8" w:name="O_885392"/>
      <w:bookmarkEnd w:id="8"/>
      <w:r w:rsidRPr="00F15CA6">
        <w:t>Unit Mapping Information</w:t>
      </w:r>
    </w:p>
    <w:p w:rsidR="00000000" w:rsidRPr="00F15CA6" w:rsidP="00BA044F">
      <w:pPr>
        <w:pStyle w:val="BodyText"/>
      </w:pPr>
      <w:r w:rsidRPr="00F15CA6">
        <w:t>This unit is equivalent to AHCSDT409A Perform a tetrazolium seed viability test.</w:t>
      </w:r>
    </w:p>
    <w:p w:rsidR="00000000" w:rsidRPr="00F15CA6" w:rsidP="00F15CA6">
      <w:pPr>
        <w:pStyle w:val="Heading1"/>
      </w:pPr>
      <w:bookmarkStart w:id="9" w:name="O_885399"/>
      <w:bookmarkEnd w:id="9"/>
      <w:r w:rsidRPr="00F15CA6">
        <w:t>Links</w:t>
      </w:r>
    </w:p>
    <w:p w:rsidR="00000000" w:rsidRPr="00F15CA6" w:rsidP="00BA044F">
      <w:pPr>
        <w:pStyle w:val="BodyText"/>
      </w:pPr>
      <w:r w:rsidRPr="00F15CA6">
        <w:t>Companion Volume implemen</w:t>
      </w:r>
      <w:r w:rsidRPr="00F15CA6">
        <w:t xml:space="preserve">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023D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15CA6" w:rsidP="00BA044F">
      <w:pPr>
        <w:pStyle w:val="BodyText"/>
        <w:sectPr w:rsidSect="00F15C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15CA6" w:rsidP="00F15CA6">
      <w:pPr>
        <w:pStyle w:val="SuperHeading"/>
      </w:pPr>
      <w:r w:rsidRPr="00F15CA6">
        <w:t>Assessment Requirements for AHCSDT409 Perform a tetrazolium test</w:t>
      </w:r>
    </w:p>
    <w:p w:rsidR="00000000" w:rsidRPr="00F15CA6" w:rsidP="00F15CA6">
      <w:pPr>
        <w:pStyle w:val="Heading1"/>
      </w:pPr>
      <w:bookmarkStart w:id="10" w:name="O_885394"/>
      <w:bookmarkEnd w:id="10"/>
      <w:r w:rsidRPr="00F15CA6">
        <w:t>Modific</w:t>
      </w:r>
      <w:r w:rsidRPr="00F15CA6">
        <w:t>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15C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A6">
            <w:pPr>
              <w:pStyle w:val="TableHeading"/>
              <w:rPr>
                <w:lang w:val="en-NZ"/>
              </w:rPr>
            </w:pPr>
            <w:r w:rsidRPr="00F15CA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A6">
            <w:pPr>
              <w:pStyle w:val="TableHeading"/>
              <w:rPr>
                <w:lang w:val="en-NZ"/>
              </w:rPr>
            </w:pPr>
            <w:r w:rsidRPr="00F15CA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A6">
            <w:pPr>
              <w:pStyle w:val="TableHeading"/>
              <w:rPr>
                <w:lang w:val="en-NZ"/>
              </w:rPr>
            </w:pPr>
            <w:r w:rsidRPr="00F15CA6">
              <w:t>Comment</w:t>
            </w:r>
          </w:p>
        </w:tc>
      </w:tr>
      <w:tr w:rsidTr="00F15C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A6">
            <w:pPr>
              <w:pStyle w:val="BodyText"/>
              <w:rPr>
                <w:lang w:val="en-NZ"/>
              </w:rPr>
            </w:pPr>
            <w:r w:rsidRPr="00F15CA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CA6">
            <w:pPr>
              <w:pStyle w:val="BodyText"/>
              <w:rPr>
                <w:lang w:val="en-NZ"/>
              </w:rPr>
            </w:pPr>
            <w:r w:rsidRPr="00F15CA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CA6" w:rsidP="00F15CA6">
            <w:pPr>
              <w:pStyle w:val="BodyText"/>
            </w:pPr>
            <w:r w:rsidRPr="00F15CA6">
              <w:t>Initial release</w:t>
            </w:r>
          </w:p>
        </w:tc>
      </w:tr>
    </w:tbl>
    <w:p w:rsidR="00000000" w:rsidRPr="00F15CA6" w:rsidP="00F15CA6">
      <w:pPr>
        <w:pStyle w:val="BodyText"/>
      </w:pPr>
    </w:p>
    <w:p w:rsidR="00000000" w:rsidRPr="00F15CA6" w:rsidP="00F15CA6">
      <w:pPr>
        <w:pStyle w:val="AllowPageBreak"/>
      </w:pPr>
    </w:p>
    <w:p w:rsidR="00000000" w:rsidRPr="00F15CA6" w:rsidP="00F15CA6">
      <w:pPr>
        <w:pStyle w:val="Heading1"/>
      </w:pPr>
      <w:bookmarkStart w:id="11" w:name="O_885395"/>
      <w:bookmarkEnd w:id="11"/>
      <w:r w:rsidRPr="00F15CA6">
        <w:t>Performance Evidence</w:t>
      </w:r>
    </w:p>
    <w:p w:rsidR="00000000" w:rsidRPr="00F15CA6" w:rsidP="00BA044F">
      <w:pPr>
        <w:pStyle w:val="BodyText"/>
      </w:pPr>
      <w:r w:rsidRPr="00F15CA6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15CA6" w:rsidP="00BA044F">
      <w:pPr>
        <w:pStyle w:val="BodyText"/>
      </w:pPr>
      <w:r w:rsidRPr="00F15CA6">
        <w:t>The candidate must provid</w:t>
      </w:r>
      <w:r w:rsidRPr="00F15CA6">
        <w:t>e evidence that they can:</w:t>
      </w:r>
    </w:p>
    <w:p w:rsidR="00000000" w:rsidRPr="00F15CA6" w:rsidP="00F15CA6">
      <w:pPr>
        <w:pStyle w:val="ListBullet"/>
      </w:pPr>
      <w:r w:rsidRPr="00F15CA6">
        <w:t>prepare replicates for testing</w:t>
      </w:r>
    </w:p>
    <w:p w:rsidR="00000000" w:rsidRPr="00F15CA6" w:rsidP="00F15CA6">
      <w:pPr>
        <w:pStyle w:val="ListBullet"/>
      </w:pPr>
      <w:r w:rsidRPr="00F15CA6">
        <w:t>prepare seed and tetrazolium solution</w:t>
      </w:r>
    </w:p>
    <w:p w:rsidR="00000000" w:rsidRPr="00F15CA6" w:rsidP="00F15CA6">
      <w:pPr>
        <w:pStyle w:val="ListBullet"/>
      </w:pPr>
      <w:r w:rsidRPr="00F15CA6">
        <w:t>stain seeds with a tetrazolium solution</w:t>
      </w:r>
    </w:p>
    <w:p w:rsidR="00000000" w:rsidRPr="00F15CA6" w:rsidP="00F15CA6">
      <w:pPr>
        <w:pStyle w:val="ListBullet"/>
      </w:pPr>
      <w:r w:rsidRPr="00F15CA6">
        <w:t>evaluate and report test results</w:t>
      </w:r>
    </w:p>
    <w:p w:rsidR="00000000" w:rsidRPr="00F15CA6" w:rsidP="00F15CA6">
      <w:pPr>
        <w:pStyle w:val="ListBullet"/>
      </w:pPr>
      <w:r w:rsidRPr="00F15CA6">
        <w:t>record and report test results</w:t>
      </w:r>
    </w:p>
    <w:p w:rsidR="00000000" w:rsidRPr="00F15CA6" w:rsidP="00F15CA6">
      <w:pPr>
        <w:pStyle w:val="ListBullet"/>
      </w:pPr>
      <w:r w:rsidRPr="00F15CA6">
        <w:t>clean apparatu</w:t>
      </w:r>
      <w:r w:rsidRPr="00F15CA6">
        <w:t>s and equipment used in test and dispose safely of used products</w:t>
      </w:r>
    </w:p>
    <w:p w:rsidR="00000000" w:rsidRPr="00F15CA6" w:rsidP="00F15CA6">
      <w:pPr>
        <w:pStyle w:val="AllowPageBreak"/>
      </w:pPr>
    </w:p>
    <w:p w:rsidR="00000000" w:rsidRPr="00F15CA6" w:rsidP="00F15CA6">
      <w:pPr>
        <w:pStyle w:val="Heading1"/>
      </w:pPr>
      <w:bookmarkStart w:id="12" w:name="O_885396"/>
      <w:bookmarkEnd w:id="12"/>
      <w:r w:rsidRPr="00F15CA6">
        <w:t>Knowledge Evidence</w:t>
      </w:r>
    </w:p>
    <w:p w:rsidR="00000000" w:rsidRPr="00F15CA6" w:rsidP="00BA044F">
      <w:pPr>
        <w:pStyle w:val="BodyText"/>
      </w:pPr>
      <w:r w:rsidRPr="00F15CA6">
        <w:t>The candidate must demonstrate knowledge of:</w:t>
      </w:r>
    </w:p>
    <w:p w:rsidR="00000000" w:rsidRPr="00F15CA6" w:rsidP="00F15CA6">
      <w:pPr>
        <w:pStyle w:val="ListBullet"/>
      </w:pPr>
      <w:r w:rsidRPr="00F15CA6">
        <w:t>calculations, tolerances and rounding results</w:t>
      </w:r>
    </w:p>
    <w:p w:rsidR="00000000" w:rsidRPr="00F15CA6" w:rsidP="00F15CA6">
      <w:pPr>
        <w:pStyle w:val="ListBullet"/>
      </w:pPr>
      <w:r w:rsidRPr="00F15CA6">
        <w:t>enterprise and/or legal traceability requirements</w:t>
      </w:r>
    </w:p>
    <w:p w:rsidR="00000000" w:rsidRPr="00F15CA6" w:rsidP="00F15CA6">
      <w:pPr>
        <w:pStyle w:val="ListBullet"/>
      </w:pPr>
      <w:r w:rsidRPr="00F15CA6">
        <w:t>enterprise st</w:t>
      </w:r>
      <w:r w:rsidRPr="00F15CA6">
        <w:t>andard operating procedures (SOPs)</w:t>
      </w:r>
    </w:p>
    <w:p w:rsidR="00000000" w:rsidRPr="00F15CA6" w:rsidP="00F15CA6">
      <w:pPr>
        <w:pStyle w:val="ListBullet"/>
      </w:pPr>
      <w:r w:rsidRPr="00F15CA6">
        <w:t>interpretation and recording of test result, including simple calculations</w:t>
      </w:r>
    </w:p>
    <w:p w:rsidR="00000000" w:rsidRPr="00F15CA6" w:rsidP="00F15CA6">
      <w:pPr>
        <w:pStyle w:val="ListBullet"/>
      </w:pPr>
      <w:r w:rsidRPr="00F15CA6">
        <w:t>relevant health, safety and environment requirements</w:t>
      </w:r>
    </w:p>
    <w:p w:rsidR="00000000" w:rsidRPr="00F15CA6" w:rsidP="00F15CA6">
      <w:pPr>
        <w:pStyle w:val="ListBullet"/>
      </w:pPr>
      <w:r w:rsidRPr="00F15CA6">
        <w:t>seed biology</w:t>
      </w:r>
    </w:p>
    <w:p w:rsidR="00000000" w:rsidRPr="00F15CA6" w:rsidP="00F15CA6">
      <w:pPr>
        <w:pStyle w:val="ListBullet"/>
      </w:pPr>
      <w:r w:rsidRPr="00F15CA6">
        <w:t>tetrazolium testing procedures</w:t>
      </w:r>
    </w:p>
    <w:p w:rsidR="00000000" w:rsidRPr="00F15CA6" w:rsidP="00F15CA6">
      <w:pPr>
        <w:pStyle w:val="ListBullet"/>
      </w:pPr>
      <w:r w:rsidRPr="00F15CA6">
        <w:t>the role of the International Seed Testing Associ</w:t>
      </w:r>
      <w:r w:rsidRPr="00F15CA6">
        <w:t>ation (ISTA) and the ISTA Rules for Seed Testing</w:t>
      </w:r>
    </w:p>
    <w:p w:rsidR="00000000" w:rsidRPr="00F15CA6" w:rsidP="00F15CA6">
      <w:pPr>
        <w:pStyle w:val="AllowPageBreak"/>
      </w:pPr>
    </w:p>
    <w:p w:rsidR="00000000" w:rsidRPr="00F15CA6" w:rsidP="00F15CA6">
      <w:pPr>
        <w:pStyle w:val="Heading1"/>
      </w:pPr>
      <w:bookmarkStart w:id="13" w:name="O_885397"/>
      <w:bookmarkEnd w:id="13"/>
      <w:r w:rsidRPr="00F15CA6">
        <w:t>Assessment Conditions</w:t>
      </w:r>
    </w:p>
    <w:p w:rsidR="00000000" w:rsidRPr="00F15CA6" w:rsidP="00BA044F">
      <w:pPr>
        <w:pStyle w:val="BodyText"/>
      </w:pPr>
      <w:r w:rsidRPr="00F15CA6">
        <w:t>Assessors must satisfy current standards for RTOs.</w:t>
      </w:r>
    </w:p>
    <w:p w:rsidR="00000000" w:rsidRPr="00F15CA6" w:rsidP="00F15CA6">
      <w:pPr>
        <w:pStyle w:val="Heading1"/>
      </w:pPr>
      <w:bookmarkStart w:id="14" w:name="O_885400"/>
      <w:bookmarkEnd w:id="14"/>
      <w:r w:rsidRPr="00F15CA6">
        <w:t>Links</w:t>
      </w:r>
    </w:p>
    <w:p w:rsidR="00000000" w:rsidRPr="00F15CA6" w:rsidP="00BA044F">
      <w:pPr>
        <w:pStyle w:val="BodyText"/>
      </w:pPr>
      <w:r w:rsidRPr="00F15CA6">
        <w:t>Companion</w:t>
      </w:r>
      <w:r w:rsidRPr="00F15CA6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023D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15CA6" w:rsidP="00F15CA6"/>
    <w:sectPr w:rsidSect="00F15C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C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CA6" w:rsidRPr="00BA044F" w:rsidP="00BA04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C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44F" w:rsidP="00F15C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044F" w:rsidP="00F15C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A044F" w:rsidP="00F15C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CA6" w:rsidP="00F15C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A044F">
      <w:t>Approved</w:t>
    </w:r>
    <w:r w:rsidR="00BA044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A044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A044F">
      <w:rPr>
        <w:noProof/>
      </w:rPr>
      <w:t>4</w:t>
    </w:r>
    <w:r>
      <w:rPr>
        <w:noProof/>
      </w:rPr>
      <w:fldChar w:fldCharType="end"/>
    </w:r>
  </w:p>
  <w:p w:rsidR="00F15CA6" w:rsidP="00F15C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A044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A044F">
      <w:t>Skills Insight</w:t>
    </w:r>
    <w:r w:rsidR="00BA044F">
      <w:fldChar w:fldCharType="end"/>
    </w:r>
  </w:p>
  <w:p w:rsidR="00F15CA6" w:rsidP="00F15C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C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4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5CA6" w:rsidRPr="00BA044F" w:rsidP="00BA04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C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44F" w:rsidRPr="002D2AF8" w:rsidP="00F15C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AHCSDT409 Perform a tetrazolium test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A044F" w:rsidP="00F15C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CA6" w:rsidRPr="002D2AF8" w:rsidP="00F15C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A044F">
      <w:t>AHCSDT409 Perform a tetrazolium test</w:t>
    </w:r>
    <w:r w:rsidR="00BA044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A044F">
      <w:rPr>
        <w:noProof/>
      </w:rPr>
      <w:t>2 March 2025</w:t>
    </w:r>
    <w:r>
      <w:fldChar w:fldCharType="end"/>
    </w:r>
  </w:p>
  <w:p w:rsidR="00F15CA6" w:rsidP="00F15C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2EAA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2022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C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5C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5C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5C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5C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5C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5C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5C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5C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5C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5C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5CA6"/>
  </w:style>
  <w:style w:type="character" w:customStyle="1" w:styleId="Heading1Char">
    <w:name w:val="Heading 1 Char"/>
    <w:basedOn w:val="DefaultParagraphFont"/>
    <w:link w:val="Heading1"/>
    <w:rsid w:val="00F15C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5C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5CA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15CA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15CA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15C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15CA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15C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5C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5C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5C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5C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5C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5C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5C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5C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5C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5C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5C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5C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5C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5C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5C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5C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5C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5CA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15C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15CA6"/>
    <w:rPr>
      <w:b/>
      <w:spacing w:val="0"/>
    </w:rPr>
  </w:style>
  <w:style w:type="paragraph" w:customStyle="1" w:styleId="SuperTitle">
    <w:name w:val="SuperTitle"/>
    <w:basedOn w:val="Title"/>
    <w:rsid w:val="00F15C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5C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5C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5C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5C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5C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5C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5C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5C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5C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5C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5C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5C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5CA6"/>
    <w:rPr>
      <w:i/>
    </w:rPr>
  </w:style>
  <w:style w:type="paragraph" w:styleId="Caption">
    <w:name w:val="caption"/>
    <w:basedOn w:val="BodyText"/>
    <w:next w:val="Normal"/>
    <w:qFormat/>
    <w:rsid w:val="00F15C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5C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5C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5CA6"/>
  </w:style>
  <w:style w:type="paragraph" w:styleId="TableofFigures">
    <w:name w:val="table of figures"/>
    <w:basedOn w:val="Normal"/>
    <w:next w:val="Normal"/>
    <w:semiHidden/>
    <w:rsid w:val="00F15C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5C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5CA6"/>
    <w:rPr>
      <w:rFonts w:ascii="Wingdings" w:hAnsi="Wingdings"/>
    </w:rPr>
  </w:style>
  <w:style w:type="character" w:customStyle="1" w:styleId="HotSpot">
    <w:name w:val="HotSpot"/>
    <w:rsid w:val="00F15CA6"/>
    <w:rPr>
      <w:color w:val="0033CC"/>
      <w:u w:val="none"/>
    </w:rPr>
  </w:style>
  <w:style w:type="paragraph" w:customStyle="1" w:styleId="BodyTextRight">
    <w:name w:val="Body Text Right"/>
    <w:basedOn w:val="BodyText"/>
    <w:rsid w:val="00F15C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5C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5C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5C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5C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5C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5CA6"/>
    <w:rPr>
      <w:sz w:val="32"/>
    </w:rPr>
  </w:style>
  <w:style w:type="paragraph" w:customStyle="1" w:styleId="HeadingProcedure">
    <w:name w:val="Heading Procedure"/>
    <w:basedOn w:val="HeadingBase"/>
    <w:next w:val="Normal"/>
    <w:rsid w:val="00F15C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5CA6"/>
    <w:pPr>
      <w:spacing w:before="60" w:after="60"/>
    </w:pPr>
  </w:style>
  <w:style w:type="paragraph" w:styleId="ListContinue">
    <w:name w:val="List Continue"/>
    <w:basedOn w:val="List"/>
    <w:rsid w:val="00F15CA6"/>
    <w:pPr>
      <w:ind w:firstLine="0"/>
    </w:pPr>
  </w:style>
  <w:style w:type="paragraph" w:customStyle="1" w:styleId="ListNote">
    <w:name w:val="List Note"/>
    <w:basedOn w:val="List"/>
    <w:rsid w:val="00F15C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5C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5C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5CA6"/>
    <w:rPr>
      <w:rFonts w:ascii="Courier New" w:hAnsi="Courier New"/>
    </w:rPr>
  </w:style>
  <w:style w:type="paragraph" w:customStyle="1" w:styleId="NoteBullet">
    <w:name w:val="Note Bullet"/>
    <w:basedOn w:val="Note"/>
    <w:rsid w:val="00F15C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5C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5C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5C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5C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5C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5C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5CA6"/>
    <w:rPr>
      <w:b/>
      <w:smallCaps/>
    </w:rPr>
  </w:style>
  <w:style w:type="paragraph" w:customStyle="1" w:styleId="TableListNumber">
    <w:name w:val="Table List Number"/>
    <w:basedOn w:val="ListNumber"/>
    <w:rsid w:val="00F15C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5C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5CA6"/>
    <w:pPr>
      <w:numPr>
        <w:numId w:val="8"/>
      </w:numPr>
    </w:pPr>
  </w:style>
  <w:style w:type="paragraph" w:customStyle="1" w:styleId="ListAlpha2">
    <w:name w:val="List Alpha 2"/>
    <w:basedOn w:val="List2"/>
    <w:rsid w:val="00F15CA6"/>
    <w:pPr>
      <w:numPr>
        <w:numId w:val="7"/>
      </w:numPr>
    </w:pPr>
  </w:style>
  <w:style w:type="paragraph" w:styleId="List2">
    <w:name w:val="List 2"/>
    <w:basedOn w:val="BodyText"/>
    <w:rsid w:val="00F15C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5C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5C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5C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5C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5C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5CA6"/>
    <w:pPr>
      <w:numPr>
        <w:numId w:val="3"/>
      </w:numPr>
    </w:pPr>
  </w:style>
  <w:style w:type="paragraph" w:styleId="ListContinue2">
    <w:name w:val="List Continue 2"/>
    <w:basedOn w:val="List2"/>
    <w:rsid w:val="00F15CA6"/>
    <w:pPr>
      <w:ind w:firstLine="0"/>
    </w:pPr>
  </w:style>
  <w:style w:type="paragraph" w:styleId="ListContinue3">
    <w:name w:val="List Continue 3"/>
    <w:basedOn w:val="List3"/>
    <w:rsid w:val="00F15CA6"/>
    <w:pPr>
      <w:ind w:left="1021" w:firstLine="0"/>
    </w:pPr>
  </w:style>
  <w:style w:type="paragraph" w:styleId="ListContinue4">
    <w:name w:val="List Continue 4"/>
    <w:basedOn w:val="List4"/>
    <w:rsid w:val="00F15CA6"/>
    <w:pPr>
      <w:ind w:firstLine="0"/>
    </w:pPr>
  </w:style>
  <w:style w:type="paragraph" w:styleId="ListContinue5">
    <w:name w:val="List Continue 5"/>
    <w:basedOn w:val="List5"/>
    <w:rsid w:val="00F15CA6"/>
    <w:pPr>
      <w:ind w:firstLine="0"/>
    </w:pPr>
  </w:style>
  <w:style w:type="paragraph" w:styleId="ListNumber3">
    <w:name w:val="List Number 3"/>
    <w:basedOn w:val="List3"/>
    <w:rsid w:val="00F15CA6"/>
    <w:pPr>
      <w:numPr>
        <w:numId w:val="4"/>
      </w:numPr>
    </w:pPr>
  </w:style>
  <w:style w:type="paragraph" w:styleId="ListNumber4">
    <w:name w:val="List Number 4"/>
    <w:basedOn w:val="List4"/>
    <w:rsid w:val="00F15CA6"/>
    <w:pPr>
      <w:numPr>
        <w:numId w:val="5"/>
      </w:numPr>
    </w:pPr>
  </w:style>
  <w:style w:type="paragraph" w:styleId="ListNumber5">
    <w:name w:val="List Number 5"/>
    <w:basedOn w:val="List5"/>
    <w:rsid w:val="00F15CA6"/>
    <w:pPr>
      <w:numPr>
        <w:numId w:val="6"/>
      </w:numPr>
    </w:pPr>
  </w:style>
  <w:style w:type="paragraph" w:styleId="BlockText">
    <w:name w:val="Block Text"/>
    <w:basedOn w:val="Normal"/>
    <w:rsid w:val="00F15C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5C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5CA6"/>
    <w:rPr>
      <w:sz w:val="16"/>
      <w:vertAlign w:val="superscript"/>
    </w:rPr>
  </w:style>
  <w:style w:type="character" w:customStyle="1" w:styleId="Symbols">
    <w:name w:val="Symbols"/>
    <w:basedOn w:val="DefaultParagraphFont"/>
    <w:rsid w:val="00F15CA6"/>
    <w:rPr>
      <w:rFonts w:ascii="Symbol" w:hAnsi="Symbol"/>
    </w:rPr>
  </w:style>
  <w:style w:type="character" w:customStyle="1" w:styleId="MenuOptions">
    <w:name w:val="Menu Options"/>
    <w:basedOn w:val="DefaultParagraphFont"/>
    <w:rsid w:val="00F15C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5CA6"/>
    <w:rPr>
      <w:b/>
    </w:rPr>
  </w:style>
  <w:style w:type="character" w:customStyle="1" w:styleId="Underlined">
    <w:name w:val="Underlined"/>
    <w:basedOn w:val="DefaultParagraphFont"/>
    <w:rsid w:val="00F15CA6"/>
    <w:rPr>
      <w:u w:val="single"/>
    </w:rPr>
  </w:style>
  <w:style w:type="paragraph" w:customStyle="1" w:styleId="TableBodyTextRight">
    <w:name w:val="Table Body Text Right"/>
    <w:basedOn w:val="TableBodyText"/>
    <w:rsid w:val="00F15C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5CA6"/>
    <w:rPr>
      <w:sz w:val="18"/>
    </w:rPr>
  </w:style>
  <w:style w:type="paragraph" w:customStyle="1" w:styleId="BodySmallRight">
    <w:name w:val="Body Small Right"/>
    <w:basedOn w:val="BodyTextRight"/>
    <w:rsid w:val="00F15CA6"/>
    <w:rPr>
      <w:sz w:val="18"/>
      <w:szCs w:val="18"/>
    </w:rPr>
  </w:style>
  <w:style w:type="paragraph" w:customStyle="1" w:styleId="MarginEdition">
    <w:name w:val="Margin Edition"/>
    <w:basedOn w:val="MarginNote"/>
    <w:rsid w:val="00F15C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5CA6"/>
    <w:rPr>
      <w:sz w:val="2"/>
      <w:szCs w:val="2"/>
    </w:rPr>
  </w:style>
  <w:style w:type="character" w:customStyle="1" w:styleId="Small">
    <w:name w:val="Small"/>
    <w:basedOn w:val="DefaultParagraphFont"/>
    <w:rsid w:val="00F15CA6"/>
    <w:rPr>
      <w:sz w:val="16"/>
    </w:rPr>
  </w:style>
  <w:style w:type="paragraph" w:customStyle="1" w:styleId="WideTable">
    <w:name w:val="Wide Table"/>
    <w:basedOn w:val="Normal"/>
    <w:rsid w:val="00F15C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5CA6"/>
  </w:style>
  <w:style w:type="paragraph" w:styleId="Quote">
    <w:name w:val="Quote"/>
    <w:basedOn w:val="Heading1"/>
    <w:link w:val="QuoteChar"/>
    <w:qFormat/>
    <w:rsid w:val="00F15C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5C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5CA6"/>
    <w:pPr>
      <w:pageBreakBefore/>
    </w:pPr>
  </w:style>
  <w:style w:type="paragraph" w:customStyle="1" w:styleId="Border">
    <w:name w:val="Border"/>
    <w:basedOn w:val="Normal"/>
    <w:qFormat/>
    <w:rsid w:val="00F15C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5C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5C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5C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5C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5C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5C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5C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5C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5CA6"/>
    <w:rPr>
      <w:u w:val="single"/>
    </w:rPr>
  </w:style>
  <w:style w:type="character" w:customStyle="1" w:styleId="BoldandItalics">
    <w:name w:val="Bold and Italics"/>
    <w:qFormat/>
    <w:rsid w:val="00F15CA6"/>
    <w:rPr>
      <w:b/>
      <w:i/>
      <w:u w:val="none"/>
    </w:rPr>
  </w:style>
  <w:style w:type="paragraph" w:styleId="BalloonText">
    <w:name w:val="Balloon Text"/>
    <w:basedOn w:val="Normal"/>
    <w:link w:val="BalloonTextChar"/>
    <w:rsid w:val="00F15C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5C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5C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5C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5C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5C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5CA6"/>
    <w:pPr>
      <w:spacing w:before="0" w:after="0"/>
    </w:pPr>
  </w:style>
  <w:style w:type="paragraph" w:customStyle="1" w:styleId="BodyTextBold">
    <w:name w:val="Body Text Bold"/>
    <w:basedOn w:val="BodyText"/>
    <w:qFormat/>
    <w:rsid w:val="00F15CA6"/>
    <w:rPr>
      <w:b/>
    </w:rPr>
  </w:style>
  <w:style w:type="character" w:styleId="Hyperlink">
    <w:name w:val="Hyperlink"/>
    <w:basedOn w:val="DefaultParagraphFont"/>
    <w:uiPriority w:val="99"/>
    <w:unhideWhenUsed/>
    <w:rsid w:val="00BA04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709</Words>
  <Characters>4275</Characters>
  <Application>Microsoft Office Word</Application>
  <DocSecurity>0</DocSecurity>
  <Lines>147</Lines>
  <Paragraphs>101</Paragraphs>
  <ScaleCrop>false</ScaleCrop>
  <Company>Author-it Software Corporation Ltd.</Company>
  <LinksUpToDate>false</LinksUpToDate>
  <CharactersWithSpaces>4883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AHCSDT409 Perform a tetrazolium test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2025-03-01T21:52:00Z</dcterms:created>
  <dcterms:modified xsi:type="dcterms:W3CDTF">2025-03-01T21:52:00Z</dcterms:modified>
</cp:coreProperties>
</file>