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967" w:rsidP="00874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AHCPMG402 Ensure compliance with pest legislation</w:t>
      </w:r>
      <w:r>
        <w:fldChar w:fldCharType="end"/>
      </w:r>
    </w:p>
    <w:p w:rsidR="00874967" w:rsidP="00874967">
      <w:pPr>
        <w:pStyle w:val="Version"/>
        <w:sectPr w:rsidSect="004B1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DE3" w:rsidP="004B1DE3">
      <w:pPr>
        <w:pStyle w:val="SuperHeading"/>
      </w:pPr>
      <w:r w:rsidRPr="004B1DE3">
        <w:t>Assessment Requirements for AHCPMG402 Ensure compliance with pest legislation</w:t>
      </w:r>
    </w:p>
    <w:p w:rsidR="00000000" w:rsidRPr="004B1DE3" w:rsidP="004B1DE3">
      <w:pPr>
        <w:pStyle w:val="Heading1"/>
      </w:pPr>
      <w:bookmarkStart w:id="1" w:name="O_1154388"/>
      <w:bookmarkEnd w:id="1"/>
      <w:r w:rsidRPr="004B1D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DE3">
            <w:pPr>
              <w:pStyle w:val="BodyTextBold"/>
              <w:rPr>
                <w:lang w:val="en-NZ"/>
              </w:rPr>
            </w:pPr>
            <w:r w:rsidRPr="004B1DE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DE3">
            <w:pPr>
              <w:pStyle w:val="BodyTextBold"/>
              <w:rPr>
                <w:lang w:val="en-NZ"/>
              </w:rPr>
            </w:pPr>
            <w:r w:rsidRPr="004B1DE3">
              <w:t>Comments</w:t>
            </w:r>
          </w:p>
        </w:tc>
      </w:tr>
      <w:tr w:rsidTr="004B1D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DE3">
            <w:pPr>
              <w:pStyle w:val="BodyText"/>
              <w:rPr>
                <w:lang w:val="en-NZ"/>
              </w:rPr>
            </w:pPr>
            <w:r w:rsidRPr="004B1D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DE3" w:rsidP="004B1DE3">
            <w:pPr>
              <w:pStyle w:val="BodyText"/>
            </w:pPr>
            <w:r w:rsidRPr="004B1DE3">
              <w:t>This version released with AHC Agriculture, Horticulture and Conservation and Land Management Training Package Version 6.0.</w:t>
            </w:r>
          </w:p>
        </w:tc>
      </w:tr>
    </w:tbl>
    <w:p w:rsidR="00000000" w:rsidRPr="004B1DE3" w:rsidP="004B1DE3">
      <w:pPr>
        <w:pStyle w:val="BodyText"/>
      </w:pPr>
    </w:p>
    <w:p w:rsidR="00000000" w:rsidRPr="004B1DE3" w:rsidP="004B1DE3">
      <w:pPr>
        <w:pStyle w:val="AllowPageBreak"/>
      </w:pPr>
    </w:p>
    <w:p w:rsidR="00000000" w:rsidRPr="004B1DE3" w:rsidP="004B1DE3">
      <w:pPr>
        <w:pStyle w:val="Heading1"/>
      </w:pPr>
      <w:bookmarkStart w:id="2" w:name="O_1154389"/>
      <w:bookmarkEnd w:id="2"/>
      <w:r w:rsidRPr="004B1DE3">
        <w:t>Performance Evidence</w:t>
      </w:r>
    </w:p>
    <w:p w:rsidR="00000000" w:rsidRPr="004B1DE3" w:rsidP="00874967">
      <w:pPr>
        <w:pStyle w:val="BodyText"/>
      </w:pPr>
      <w:r w:rsidRPr="004B1DE3">
        <w:t>An individual demonstrating competency must satisfy all of the elements and performance cr</w:t>
      </w:r>
      <w:r w:rsidRPr="004B1DE3">
        <w:t xml:space="preserve">iteria in this unit. </w:t>
      </w:r>
    </w:p>
    <w:p w:rsidR="00000000" w:rsidRPr="004B1DE3" w:rsidP="00874967">
      <w:pPr>
        <w:pStyle w:val="BodyText"/>
      </w:pPr>
      <w:r w:rsidRPr="004B1DE3">
        <w:t>There must be evidence that the individual has, on at least one occasion, conducted an investigation, determined status of compliance and advised rectification procedures to stakeholders for a breach in pest control legislation accord</w:t>
      </w:r>
      <w:r w:rsidRPr="004B1DE3">
        <w:t>ing to Commonwealth, state or territory legislation.</w:t>
      </w:r>
    </w:p>
    <w:p w:rsidR="00000000" w:rsidRPr="004B1DE3" w:rsidP="00874967">
      <w:pPr>
        <w:pStyle w:val="BodyText"/>
      </w:pPr>
      <w:r w:rsidRPr="004B1DE3">
        <w:t>There must also be evidence that the individual has:</w:t>
      </w:r>
    </w:p>
    <w:p w:rsidR="00000000" w:rsidRPr="004B1DE3" w:rsidP="004B1DE3">
      <w:pPr>
        <w:pStyle w:val="ListBullet"/>
      </w:pPr>
      <w:r w:rsidRPr="004B1DE3">
        <w:t>identified and interviewed stakeholders alleged to have not complied with pest control legislation</w:t>
      </w:r>
    </w:p>
    <w:p w:rsidR="00000000" w:rsidRPr="004B1DE3" w:rsidP="004B1DE3">
      <w:pPr>
        <w:pStyle w:val="ListBullet"/>
      </w:pPr>
      <w:r w:rsidRPr="004B1DE3">
        <w:t>investigated and collected evidence of breaches</w:t>
      </w:r>
    </w:p>
    <w:p w:rsidR="00000000" w:rsidRPr="004B1DE3" w:rsidP="004B1DE3">
      <w:pPr>
        <w:pStyle w:val="ListBullet"/>
      </w:pPr>
      <w:r w:rsidRPr="004B1DE3">
        <w:t>provided advice to stakeholders of a non-compliance issue according to authority guidelines</w:t>
      </w:r>
    </w:p>
    <w:p w:rsidR="00000000" w:rsidRPr="004B1DE3" w:rsidP="004B1DE3">
      <w:pPr>
        <w:pStyle w:val="ListBullet"/>
      </w:pPr>
      <w:r w:rsidRPr="004B1DE3">
        <w:t>provided advice and support to stakeholder to rectify the non-compliance according to authority guidelines</w:t>
      </w:r>
    </w:p>
    <w:p w:rsidR="00000000" w:rsidRPr="004B1DE3" w:rsidP="004B1DE3">
      <w:pPr>
        <w:pStyle w:val="ListBullet"/>
      </w:pPr>
      <w:r w:rsidRPr="004B1DE3">
        <w:t>conducted investigations and communication according to p</w:t>
      </w:r>
      <w:r w:rsidRPr="004B1DE3">
        <w:t>rivacy and right of entry legislation and policies</w:t>
      </w:r>
    </w:p>
    <w:p w:rsidR="00000000" w:rsidRPr="004B1DE3" w:rsidP="004B1DE3">
      <w:pPr>
        <w:pStyle w:val="ListBullet"/>
      </w:pPr>
      <w:r w:rsidRPr="004B1DE3">
        <w:t>reported findings of investigations and actions according to legislative requirements</w:t>
      </w:r>
    </w:p>
    <w:p w:rsidR="00000000" w:rsidRPr="004B1DE3" w:rsidP="004B1DE3">
      <w:pPr>
        <w:pStyle w:val="ListBullet"/>
      </w:pPr>
      <w:r w:rsidRPr="004B1DE3">
        <w:t>produced and issued notices to stakeholders for non-compliance</w:t>
      </w:r>
    </w:p>
    <w:p w:rsidR="00000000" w:rsidRPr="004B1DE3" w:rsidP="004B1DE3">
      <w:pPr>
        <w:pStyle w:val="ListBullet"/>
      </w:pPr>
      <w:r w:rsidRPr="004B1DE3">
        <w:t>completed records and reports according to authority and</w:t>
      </w:r>
      <w:r w:rsidRPr="004B1DE3">
        <w:t xml:space="preserve"> workplace standards.</w:t>
      </w:r>
    </w:p>
    <w:p w:rsidR="00000000" w:rsidRPr="004B1DE3" w:rsidP="004B1DE3">
      <w:pPr>
        <w:pStyle w:val="AllowPageBreak"/>
      </w:pPr>
    </w:p>
    <w:p w:rsidR="00000000" w:rsidRPr="004B1DE3" w:rsidP="004B1DE3">
      <w:pPr>
        <w:pStyle w:val="Heading1"/>
      </w:pPr>
      <w:bookmarkStart w:id="3" w:name="O_1154390"/>
      <w:bookmarkEnd w:id="3"/>
      <w:r w:rsidRPr="004B1DE3">
        <w:t>Knowledge Evidence</w:t>
      </w:r>
    </w:p>
    <w:p w:rsidR="00000000" w:rsidRPr="004B1DE3" w:rsidP="00874967">
      <w:pPr>
        <w:pStyle w:val="BodyText"/>
      </w:pPr>
      <w:r w:rsidRPr="004B1DE3">
        <w:t>An individual must be able to demonstrate the knowledge required to perform the tasks outlined in the elements and performance criteria of this unit. This includes knowledge of:</w:t>
      </w:r>
    </w:p>
    <w:p w:rsidR="00000000" w:rsidRPr="004B1DE3" w:rsidP="004B1DE3">
      <w:pPr>
        <w:pStyle w:val="ListBullet"/>
      </w:pPr>
      <w:r w:rsidRPr="004B1DE3">
        <w:t>relevant Commonwe</w:t>
      </w:r>
      <w:r w:rsidRPr="004B1DE3">
        <w:t>alth, state, territory and local government legislation regarding pest management and the destruction and movement of declared species</w:t>
      </w:r>
    </w:p>
    <w:p w:rsidR="00000000" w:rsidRPr="004B1DE3" w:rsidP="004B1DE3">
      <w:pPr>
        <w:pStyle w:val="ListBullet"/>
      </w:pPr>
      <w:r w:rsidRPr="004B1DE3">
        <w:t>methods of investigation and procedures for collecting evidence, including:</w:t>
      </w:r>
    </w:p>
    <w:p w:rsidR="00000000" w:rsidRPr="004B1DE3" w:rsidP="004B1DE3">
      <w:pPr>
        <w:pStyle w:val="ListBullet2"/>
      </w:pPr>
      <w:r w:rsidRPr="004B1DE3">
        <w:t>interview skills</w:t>
      </w:r>
    </w:p>
    <w:p w:rsidR="00000000" w:rsidRPr="004B1DE3" w:rsidP="004B1DE3">
      <w:pPr>
        <w:pStyle w:val="ListBullet2"/>
      </w:pPr>
      <w:r w:rsidRPr="004B1DE3">
        <w:t>types of evidence relevant to non-compliant pest control</w:t>
      </w:r>
    </w:p>
    <w:p w:rsidR="00000000" w:rsidRPr="004B1DE3" w:rsidP="004B1DE3">
      <w:pPr>
        <w:pStyle w:val="ListBullet2"/>
      </w:pPr>
      <w:r w:rsidRPr="004B1DE3">
        <w:t>conflict avoidance and resolution techniques</w:t>
      </w:r>
    </w:p>
    <w:p w:rsidR="00000000" w:rsidRPr="004B1DE3" w:rsidP="004B1DE3">
      <w:pPr>
        <w:pStyle w:val="ListBullet2"/>
      </w:pPr>
      <w:r w:rsidRPr="004B1DE3">
        <w:t>site access rights and responsibilities</w:t>
      </w:r>
    </w:p>
    <w:p w:rsidR="00000000" w:rsidRPr="004B1DE3" w:rsidP="004B1DE3">
      <w:pPr>
        <w:pStyle w:val="ListBullet"/>
      </w:pPr>
      <w:r w:rsidRPr="004B1DE3">
        <w:t>communicating with and supporting stakeholders through notifications and advice</w:t>
      </w:r>
    </w:p>
    <w:p w:rsidR="00000000" w:rsidRPr="004B1DE3" w:rsidP="004B1DE3">
      <w:pPr>
        <w:pStyle w:val="ListBullet"/>
      </w:pPr>
      <w:r w:rsidRPr="004B1DE3">
        <w:t>the legislative status of particu</w:t>
      </w:r>
      <w:r w:rsidRPr="004B1DE3">
        <w:t>lar pests and how to identify whether a pest is a declared species</w:t>
      </w:r>
    </w:p>
    <w:p w:rsidR="00000000" w:rsidRPr="004B1DE3" w:rsidP="004B1DE3">
      <w:pPr>
        <w:pStyle w:val="ListBullet"/>
      </w:pPr>
      <w:r w:rsidRPr="004B1DE3">
        <w:t>the types of breaches that generally occur in the locality, and the appropriate control options for pests, including:</w:t>
      </w:r>
    </w:p>
    <w:p w:rsidR="00000000" w:rsidRPr="004B1DE3" w:rsidP="004B1DE3">
      <w:pPr>
        <w:pStyle w:val="ListBullet2"/>
      </w:pPr>
      <w:r w:rsidRPr="004B1DE3">
        <w:t>plants</w:t>
      </w:r>
    </w:p>
    <w:p w:rsidR="00000000" w:rsidRPr="004B1DE3" w:rsidP="004B1DE3">
      <w:pPr>
        <w:pStyle w:val="ListBullet2"/>
      </w:pPr>
      <w:r w:rsidRPr="004B1DE3">
        <w:t>vertebrates</w:t>
      </w:r>
    </w:p>
    <w:p w:rsidR="00000000" w:rsidRPr="004B1DE3" w:rsidP="004B1DE3">
      <w:pPr>
        <w:pStyle w:val="ListBullet2"/>
      </w:pPr>
      <w:r w:rsidRPr="004B1DE3">
        <w:t>invertebrates</w:t>
      </w:r>
    </w:p>
    <w:p w:rsidR="00000000" w:rsidRPr="004B1DE3" w:rsidP="004B1DE3">
      <w:pPr>
        <w:pStyle w:val="ListBullet2"/>
      </w:pPr>
      <w:r w:rsidRPr="004B1DE3">
        <w:t>microbial</w:t>
      </w:r>
    </w:p>
    <w:p w:rsidR="00000000" w:rsidRPr="004B1DE3" w:rsidP="004B1DE3">
      <w:pPr>
        <w:pStyle w:val="ListBullet"/>
      </w:pPr>
      <w:r w:rsidRPr="004B1DE3">
        <w:t>property owners</w:t>
      </w:r>
      <w:r>
        <w:t>’</w:t>
      </w:r>
      <w:r w:rsidRPr="004B1DE3">
        <w:t xml:space="preserve"> rights an</w:t>
      </w:r>
      <w:r w:rsidRPr="004B1DE3">
        <w:t>d responsibilities for managing pests on properties</w:t>
      </w:r>
    </w:p>
    <w:p w:rsidR="00000000" w:rsidRPr="004B1DE3" w:rsidP="004B1DE3">
      <w:pPr>
        <w:pStyle w:val="ListBullet"/>
      </w:pPr>
      <w:r w:rsidRPr="004B1DE3">
        <w:t>delegations under the relevant Acts and Certificates of Authority</w:t>
      </w:r>
    </w:p>
    <w:p w:rsidR="00000000" w:rsidRPr="004B1DE3" w:rsidP="004B1DE3">
      <w:pPr>
        <w:pStyle w:val="ListBullet"/>
      </w:pPr>
      <w:r w:rsidRPr="004B1DE3">
        <w:t>control measures appropriate to the pests and environment in the area.</w:t>
      </w:r>
    </w:p>
    <w:p w:rsidR="00000000" w:rsidRPr="004B1DE3" w:rsidP="004B1DE3">
      <w:pPr>
        <w:pStyle w:val="AllowPageBreak"/>
      </w:pPr>
    </w:p>
    <w:p w:rsidR="00000000" w:rsidRPr="004B1DE3" w:rsidP="004B1DE3">
      <w:pPr>
        <w:pStyle w:val="Heading1"/>
      </w:pPr>
      <w:bookmarkStart w:id="4" w:name="O_1154391"/>
      <w:bookmarkEnd w:id="4"/>
      <w:r w:rsidRPr="004B1DE3">
        <w:t>Assessment Conditions</w:t>
      </w:r>
    </w:p>
    <w:p w:rsidR="00000000" w:rsidRPr="004B1DE3" w:rsidP="00874967">
      <w:pPr>
        <w:pStyle w:val="BodyText"/>
      </w:pPr>
      <w:r w:rsidRPr="004B1DE3">
        <w:t xml:space="preserve">Assessment of </w:t>
      </w:r>
      <w:r w:rsidRPr="004B1DE3">
        <w:t xml:space="preserve">the skills in this unit of competency must take place under the following conditions: </w:t>
      </w:r>
    </w:p>
    <w:p w:rsidR="00000000" w:rsidRPr="004B1DE3" w:rsidP="004B1DE3">
      <w:pPr>
        <w:pStyle w:val="ListBullet"/>
      </w:pPr>
      <w:r w:rsidRPr="004B1DE3">
        <w:t>physical conditions:</w:t>
      </w:r>
    </w:p>
    <w:p w:rsidR="00000000" w:rsidRPr="004B1DE3" w:rsidP="004B1DE3">
      <w:pPr>
        <w:pStyle w:val="ListBullet2"/>
      </w:pPr>
      <w:r w:rsidRPr="004B1DE3">
        <w:t>skills must be demonstrated on a property with an actual breach in legislative compliance or in an environment that accurately represents workplac</w:t>
      </w:r>
      <w:r w:rsidRPr="004B1DE3">
        <w:t>e conditions</w:t>
      </w:r>
    </w:p>
    <w:p w:rsidR="00000000" w:rsidRPr="004B1DE3" w:rsidP="004B1DE3">
      <w:pPr>
        <w:pStyle w:val="ListBullet"/>
      </w:pPr>
      <w:r w:rsidRPr="004B1DE3">
        <w:t>resources, equipment and materials:</w:t>
      </w:r>
    </w:p>
    <w:p w:rsidR="00000000" w:rsidRPr="004B1DE3" w:rsidP="004B1DE3">
      <w:pPr>
        <w:pStyle w:val="ListBullet2"/>
      </w:pPr>
      <w:r w:rsidRPr="004B1DE3">
        <w:t>equipment used to capture and store evidence during investigations</w:t>
      </w:r>
    </w:p>
    <w:p w:rsidR="00000000" w:rsidRPr="004B1DE3" w:rsidP="004B1DE3">
      <w:pPr>
        <w:pStyle w:val="ListBullet"/>
      </w:pPr>
      <w:r w:rsidRPr="004B1DE3">
        <w:t>specifications:</w:t>
      </w:r>
    </w:p>
    <w:p w:rsidR="00000000" w:rsidRPr="004B1DE3" w:rsidP="004B1DE3">
      <w:pPr>
        <w:pStyle w:val="ListBullet2"/>
      </w:pPr>
      <w:r w:rsidRPr="004B1DE3">
        <w:t>workplace policies, procedures and processes for conducting investigations and preparing notices and reports</w:t>
      </w:r>
    </w:p>
    <w:p w:rsidR="00000000" w:rsidRPr="004B1DE3" w:rsidP="004B1DE3">
      <w:pPr>
        <w:pStyle w:val="ListBullet2"/>
      </w:pPr>
      <w:r w:rsidRPr="004B1DE3">
        <w:t>legislation</w:t>
      </w:r>
      <w:r w:rsidRPr="004B1DE3">
        <w:t>, regulations and codes of practice relevant to pest control</w:t>
      </w:r>
    </w:p>
    <w:p w:rsidR="00000000" w:rsidRPr="004B1DE3" w:rsidP="004B1DE3">
      <w:pPr>
        <w:pStyle w:val="ListBullet"/>
      </w:pPr>
      <w:r w:rsidRPr="004B1DE3">
        <w:t>relationships:</w:t>
      </w:r>
    </w:p>
    <w:p w:rsidR="00000000" w:rsidRPr="004B1DE3" w:rsidP="004B1DE3">
      <w:pPr>
        <w:pStyle w:val="ListBullet2"/>
      </w:pPr>
      <w:r w:rsidRPr="004B1DE3">
        <w:t>stakeholder</w:t>
      </w:r>
    </w:p>
    <w:p w:rsidR="00000000" w:rsidRPr="004B1DE3" w:rsidP="004B1DE3">
      <w:pPr>
        <w:pStyle w:val="ListBullet2"/>
      </w:pPr>
      <w:r w:rsidRPr="004B1DE3">
        <w:t>agency authority.</w:t>
      </w:r>
    </w:p>
    <w:p w:rsidR="00000000" w:rsidRPr="004B1DE3" w:rsidP="00874967">
      <w:pPr>
        <w:pStyle w:val="BodyText"/>
      </w:pPr>
      <w:r w:rsidRPr="004B1DE3">
        <w:t xml:space="preserve">Assessors of this unit must satisfy the requirements for assessors </w:t>
      </w:r>
      <w:r w:rsidRPr="004B1DE3">
        <w:t>in applicable vocational education and training legislation, frameworks and/or standards.</w:t>
      </w:r>
    </w:p>
    <w:p w:rsidR="00000000" w:rsidRPr="004B1DE3" w:rsidP="004B1DE3">
      <w:pPr>
        <w:pStyle w:val="Heading1"/>
      </w:pPr>
      <w:bookmarkStart w:id="5" w:name="O_1154394"/>
      <w:bookmarkEnd w:id="5"/>
      <w:r w:rsidRPr="004B1DE3">
        <w:t>Links</w:t>
      </w:r>
    </w:p>
    <w:p w:rsidR="00000000" w:rsidRPr="004B1DE3" w:rsidP="00874967">
      <w:pPr>
        <w:pStyle w:val="BodyText"/>
      </w:pPr>
      <w:r w:rsidRPr="004B1D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07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1DE3" w:rsidP="004B1DE3"/>
    <w:sectPr w:rsidSect="004B1D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E3" w:rsidRPr="00874967" w:rsidP="00874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7" w:rsidP="004B1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4967" w:rsidP="004B1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4967" w:rsidP="004B1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DE3" w:rsidRPr="00874967" w:rsidP="00874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67" w:rsidRPr="002D2AF8" w:rsidP="004B1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AHCPMG402 Ensure compliance with pest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74967" w:rsidP="004B1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CA7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786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091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DE3"/>
  </w:style>
  <w:style w:type="character" w:customStyle="1" w:styleId="Heading1Char">
    <w:name w:val="Heading 1 Char"/>
    <w:basedOn w:val="DefaultParagraphFont"/>
    <w:link w:val="Heading1"/>
    <w:rsid w:val="004B1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D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1D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1D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1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1DE3"/>
    <w:rPr>
      <w:b/>
    </w:rPr>
  </w:style>
  <w:style w:type="character" w:customStyle="1" w:styleId="Heading2Char">
    <w:name w:val="Heading 2 Char"/>
    <w:basedOn w:val="DefaultParagraphFont"/>
    <w:link w:val="Heading2"/>
    <w:rsid w:val="004B1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D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D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1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1DE3"/>
    <w:rPr>
      <w:b/>
      <w:spacing w:val="0"/>
    </w:rPr>
  </w:style>
  <w:style w:type="paragraph" w:customStyle="1" w:styleId="SuperTitle">
    <w:name w:val="SuperTitle"/>
    <w:basedOn w:val="Title"/>
    <w:rsid w:val="004B1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1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D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DE3"/>
    <w:rPr>
      <w:i/>
    </w:rPr>
  </w:style>
  <w:style w:type="paragraph" w:styleId="Caption">
    <w:name w:val="caption"/>
    <w:basedOn w:val="BodyText"/>
    <w:next w:val="Normal"/>
    <w:qFormat/>
    <w:rsid w:val="004B1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DE3"/>
  </w:style>
  <w:style w:type="paragraph" w:styleId="TableofFigures">
    <w:name w:val="table of figures"/>
    <w:basedOn w:val="Normal"/>
    <w:next w:val="Normal"/>
    <w:semiHidden/>
    <w:rsid w:val="004B1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D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1DE3"/>
    <w:rPr>
      <w:rFonts w:ascii="Wingdings" w:hAnsi="Wingdings"/>
    </w:rPr>
  </w:style>
  <w:style w:type="paragraph" w:customStyle="1" w:styleId="TableHeading">
    <w:name w:val="Table Heading"/>
    <w:basedOn w:val="HeadingBase"/>
    <w:rsid w:val="004B1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DE3"/>
    <w:rPr>
      <w:color w:val="0033CC"/>
      <w:u w:val="none"/>
    </w:rPr>
  </w:style>
  <w:style w:type="paragraph" w:customStyle="1" w:styleId="BodyTextRight">
    <w:name w:val="Body Text Right"/>
    <w:basedOn w:val="BodyText"/>
    <w:rsid w:val="004B1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D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DE3"/>
    <w:rPr>
      <w:sz w:val="32"/>
    </w:rPr>
  </w:style>
  <w:style w:type="paragraph" w:customStyle="1" w:styleId="HeadingProcedure">
    <w:name w:val="Heading Procedure"/>
    <w:basedOn w:val="HeadingBase"/>
    <w:next w:val="Normal"/>
    <w:rsid w:val="004B1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DE3"/>
    <w:pPr>
      <w:spacing w:before="60" w:after="60"/>
    </w:pPr>
  </w:style>
  <w:style w:type="paragraph" w:styleId="ListContinue">
    <w:name w:val="List Continue"/>
    <w:basedOn w:val="List"/>
    <w:rsid w:val="004B1DE3"/>
    <w:pPr>
      <w:ind w:firstLine="0"/>
    </w:pPr>
  </w:style>
  <w:style w:type="paragraph" w:customStyle="1" w:styleId="ListNote">
    <w:name w:val="List Note"/>
    <w:basedOn w:val="List"/>
    <w:rsid w:val="004B1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DE3"/>
    <w:rPr>
      <w:rFonts w:ascii="Courier New" w:hAnsi="Courier New"/>
    </w:rPr>
  </w:style>
  <w:style w:type="paragraph" w:customStyle="1" w:styleId="NoteBullet">
    <w:name w:val="Note Bullet"/>
    <w:basedOn w:val="Note"/>
    <w:rsid w:val="004B1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D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1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DE3"/>
    <w:rPr>
      <w:b/>
      <w:smallCaps/>
    </w:rPr>
  </w:style>
  <w:style w:type="paragraph" w:customStyle="1" w:styleId="TableListNumber">
    <w:name w:val="Table List Number"/>
    <w:basedOn w:val="ListNumber"/>
    <w:rsid w:val="004B1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DE3"/>
    <w:pPr>
      <w:numPr>
        <w:numId w:val="9"/>
      </w:numPr>
    </w:pPr>
  </w:style>
  <w:style w:type="paragraph" w:customStyle="1" w:styleId="ListAlpha2">
    <w:name w:val="List Alpha 2"/>
    <w:basedOn w:val="List2"/>
    <w:rsid w:val="004B1DE3"/>
    <w:pPr>
      <w:numPr>
        <w:numId w:val="8"/>
      </w:numPr>
    </w:pPr>
  </w:style>
  <w:style w:type="paragraph" w:styleId="List2">
    <w:name w:val="List 2"/>
    <w:basedOn w:val="BodyText"/>
    <w:rsid w:val="004B1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D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D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1DE3"/>
    <w:pPr>
      <w:numPr>
        <w:numId w:val="4"/>
      </w:numPr>
    </w:pPr>
  </w:style>
  <w:style w:type="paragraph" w:styleId="ListContinue2">
    <w:name w:val="List Continue 2"/>
    <w:basedOn w:val="List2"/>
    <w:rsid w:val="004B1DE3"/>
    <w:pPr>
      <w:ind w:firstLine="0"/>
    </w:pPr>
  </w:style>
  <w:style w:type="paragraph" w:styleId="ListContinue3">
    <w:name w:val="List Continue 3"/>
    <w:basedOn w:val="List3"/>
    <w:rsid w:val="004B1DE3"/>
    <w:pPr>
      <w:ind w:left="1021" w:firstLine="0"/>
    </w:pPr>
  </w:style>
  <w:style w:type="paragraph" w:styleId="ListContinue4">
    <w:name w:val="List Continue 4"/>
    <w:basedOn w:val="List4"/>
    <w:rsid w:val="004B1DE3"/>
    <w:pPr>
      <w:ind w:firstLine="0"/>
    </w:pPr>
  </w:style>
  <w:style w:type="paragraph" w:styleId="ListContinue5">
    <w:name w:val="List Continue 5"/>
    <w:basedOn w:val="List5"/>
    <w:rsid w:val="004B1DE3"/>
    <w:pPr>
      <w:ind w:firstLine="0"/>
    </w:pPr>
  </w:style>
  <w:style w:type="paragraph" w:styleId="ListNumber3">
    <w:name w:val="List Number 3"/>
    <w:basedOn w:val="List3"/>
    <w:rsid w:val="004B1DE3"/>
    <w:pPr>
      <w:numPr>
        <w:numId w:val="5"/>
      </w:numPr>
    </w:pPr>
  </w:style>
  <w:style w:type="paragraph" w:styleId="ListNumber4">
    <w:name w:val="List Number 4"/>
    <w:basedOn w:val="List4"/>
    <w:rsid w:val="004B1DE3"/>
    <w:pPr>
      <w:numPr>
        <w:numId w:val="6"/>
      </w:numPr>
    </w:pPr>
  </w:style>
  <w:style w:type="paragraph" w:styleId="ListNumber5">
    <w:name w:val="List Number 5"/>
    <w:basedOn w:val="List5"/>
    <w:rsid w:val="004B1DE3"/>
    <w:pPr>
      <w:numPr>
        <w:numId w:val="7"/>
      </w:numPr>
    </w:pPr>
  </w:style>
  <w:style w:type="paragraph" w:styleId="BlockText">
    <w:name w:val="Block Text"/>
    <w:basedOn w:val="Normal"/>
    <w:rsid w:val="004B1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DE3"/>
    <w:rPr>
      <w:sz w:val="16"/>
      <w:vertAlign w:val="superscript"/>
    </w:rPr>
  </w:style>
  <w:style w:type="character" w:customStyle="1" w:styleId="Symbols">
    <w:name w:val="Symbols"/>
    <w:basedOn w:val="DefaultParagraphFont"/>
    <w:rsid w:val="004B1DE3"/>
    <w:rPr>
      <w:rFonts w:ascii="Symbol" w:hAnsi="Symbol"/>
    </w:rPr>
  </w:style>
  <w:style w:type="character" w:customStyle="1" w:styleId="MenuOptions">
    <w:name w:val="Menu Options"/>
    <w:basedOn w:val="DefaultParagraphFont"/>
    <w:rsid w:val="004B1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DE3"/>
    <w:rPr>
      <w:b/>
    </w:rPr>
  </w:style>
  <w:style w:type="character" w:customStyle="1" w:styleId="Underlined">
    <w:name w:val="Underlined"/>
    <w:basedOn w:val="DefaultParagraphFont"/>
    <w:rsid w:val="004B1DE3"/>
    <w:rPr>
      <w:u w:val="single"/>
    </w:rPr>
  </w:style>
  <w:style w:type="paragraph" w:customStyle="1" w:styleId="TableBodyTextRight">
    <w:name w:val="Table Body Text Right"/>
    <w:basedOn w:val="TableBodyText"/>
    <w:rsid w:val="004B1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DE3"/>
    <w:rPr>
      <w:sz w:val="18"/>
    </w:rPr>
  </w:style>
  <w:style w:type="paragraph" w:customStyle="1" w:styleId="BodySmallRight">
    <w:name w:val="Body Small Right"/>
    <w:basedOn w:val="BodyTextRight"/>
    <w:rsid w:val="004B1DE3"/>
    <w:rPr>
      <w:sz w:val="18"/>
      <w:szCs w:val="18"/>
    </w:rPr>
  </w:style>
  <w:style w:type="paragraph" w:customStyle="1" w:styleId="MarginEdition">
    <w:name w:val="Margin Edition"/>
    <w:basedOn w:val="MarginNote"/>
    <w:rsid w:val="004B1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DE3"/>
    <w:rPr>
      <w:sz w:val="2"/>
      <w:szCs w:val="2"/>
    </w:rPr>
  </w:style>
  <w:style w:type="character" w:customStyle="1" w:styleId="Small">
    <w:name w:val="Small"/>
    <w:basedOn w:val="DefaultParagraphFont"/>
    <w:rsid w:val="004B1DE3"/>
    <w:rPr>
      <w:sz w:val="16"/>
    </w:rPr>
  </w:style>
  <w:style w:type="paragraph" w:customStyle="1" w:styleId="WideTable">
    <w:name w:val="Wide Table"/>
    <w:basedOn w:val="Normal"/>
    <w:rsid w:val="004B1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DE3"/>
  </w:style>
  <w:style w:type="paragraph" w:styleId="Quote">
    <w:name w:val="Quote"/>
    <w:basedOn w:val="Heading1"/>
    <w:link w:val="QuoteChar"/>
    <w:qFormat/>
    <w:rsid w:val="004B1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DE3"/>
    <w:pPr>
      <w:pageBreakBefore/>
    </w:pPr>
  </w:style>
  <w:style w:type="paragraph" w:customStyle="1" w:styleId="Border">
    <w:name w:val="Border"/>
    <w:basedOn w:val="Normal"/>
    <w:qFormat/>
    <w:rsid w:val="004B1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DE3"/>
    <w:rPr>
      <w:u w:val="single"/>
    </w:rPr>
  </w:style>
  <w:style w:type="character" w:customStyle="1" w:styleId="BoldandItalics">
    <w:name w:val="Bold and Italics"/>
    <w:qFormat/>
    <w:rsid w:val="004B1DE3"/>
    <w:rPr>
      <w:b/>
      <w:i/>
      <w:u w:val="none"/>
    </w:rPr>
  </w:style>
  <w:style w:type="paragraph" w:styleId="BalloonText">
    <w:name w:val="Balloon Text"/>
    <w:basedOn w:val="Normal"/>
    <w:link w:val="BalloonTextChar"/>
    <w:rsid w:val="004B1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D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4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3298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AHCPMG402 Ensure compliance with pest legislation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