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E6E" w:rsidP="00AD6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AHCPHT406 Control Phase II mushroom substrate process</w:t>
      </w:r>
      <w:r>
        <w:fldChar w:fldCharType="end"/>
      </w:r>
    </w:p>
    <w:p w:rsidR="00AD6E6E" w:rsidP="00AD6E6E">
      <w:pPr>
        <w:pStyle w:val="Version"/>
        <w:sectPr w:rsidSect="00374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8C4" w:rsidP="003748C4">
      <w:pPr>
        <w:pStyle w:val="SuperHeading"/>
      </w:pPr>
      <w:r w:rsidRPr="003748C4">
        <w:t>AHCPHT406 Control Phase II mushroom substrate process</w:t>
      </w:r>
    </w:p>
    <w:p w:rsidR="00000000" w:rsidRPr="003748C4" w:rsidP="003748C4">
      <w:pPr>
        <w:pStyle w:val="Heading1"/>
      </w:pPr>
      <w:bookmarkStart w:id="1" w:name="O_888805"/>
      <w:bookmarkEnd w:id="1"/>
      <w:r w:rsidRPr="00374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Comment</w:t>
            </w:r>
          </w:p>
        </w:tc>
      </w:tr>
      <w:tr w:rsidTr="003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C4" w:rsidP="003748C4">
            <w:pPr>
              <w:pStyle w:val="BodyText"/>
            </w:pPr>
            <w:r w:rsidRPr="003748C4">
              <w:t>Initial release</w:t>
            </w:r>
          </w:p>
        </w:tc>
      </w:tr>
    </w:tbl>
    <w:p w:rsidR="00000000" w:rsidRPr="003748C4" w:rsidP="003748C4">
      <w:pPr>
        <w:pStyle w:val="BodyText"/>
      </w:pPr>
    </w:p>
    <w:p w:rsidR="00000000" w:rsidRPr="003748C4" w:rsidP="003748C4">
      <w:pPr>
        <w:pStyle w:val="AllowPageBreak"/>
      </w:pPr>
    </w:p>
    <w:p w:rsidR="00000000" w:rsidRPr="003748C4" w:rsidP="003748C4">
      <w:pPr>
        <w:pStyle w:val="Heading1"/>
      </w:pPr>
      <w:bookmarkStart w:id="2" w:name="O_888806"/>
      <w:bookmarkEnd w:id="2"/>
      <w:r w:rsidRPr="003748C4">
        <w:t>Application</w:t>
      </w:r>
    </w:p>
    <w:p w:rsidR="00000000" w:rsidRPr="003748C4" w:rsidP="00AD6E6E">
      <w:pPr>
        <w:pStyle w:val="BodyText"/>
      </w:pPr>
      <w:r w:rsidRPr="003748C4">
        <w:t>This unit of competency describes the skills and knowledge required to control Phase II of mushroom substrate.</w:t>
      </w:r>
    </w:p>
    <w:p w:rsidR="00000000" w:rsidRPr="003748C4" w:rsidP="00AD6E6E">
      <w:pPr>
        <w:pStyle w:val="BodyText"/>
      </w:pPr>
      <w:r w:rsidRPr="003748C4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3748C4">
        <w:t xml:space="preserve"> communicate solutions to a range of complex problems. All work is carried out to comply with workplace procedures.</w:t>
      </w:r>
    </w:p>
    <w:p w:rsidR="00000000" w:rsidRPr="003748C4" w:rsidP="00AD6E6E">
      <w:pPr>
        <w:pStyle w:val="BodyText"/>
      </w:pPr>
      <w:r w:rsidRPr="003748C4">
        <w:t>No occupational licensing, legislative or certification requirements are known to apply to this unit at the time of publication.</w:t>
      </w:r>
    </w:p>
    <w:p w:rsidR="00000000" w:rsidRPr="003748C4" w:rsidP="003748C4">
      <w:pPr>
        <w:pStyle w:val="Heading1"/>
      </w:pPr>
      <w:bookmarkStart w:id="3" w:name="O_888807"/>
      <w:bookmarkEnd w:id="3"/>
      <w:r w:rsidRPr="003748C4">
        <w:t>Pre-requisite Unit</w:t>
      </w:r>
    </w:p>
    <w:p w:rsidR="00000000" w:rsidRPr="003748C4" w:rsidP="00AD6E6E">
      <w:pPr>
        <w:pStyle w:val="BodyText"/>
      </w:pPr>
      <w:r w:rsidRPr="003748C4">
        <w:t>Nil.</w:t>
      </w:r>
    </w:p>
    <w:p w:rsidR="00000000" w:rsidRPr="003748C4" w:rsidP="003748C4">
      <w:pPr>
        <w:pStyle w:val="Heading1"/>
      </w:pPr>
      <w:bookmarkStart w:id="4" w:name="O_888809"/>
      <w:bookmarkEnd w:id="4"/>
      <w:r w:rsidRPr="003748C4">
        <w:t>Unit Sector</w:t>
      </w:r>
    </w:p>
    <w:p w:rsidR="00000000" w:rsidRPr="003748C4" w:rsidP="00AD6E6E">
      <w:pPr>
        <w:pStyle w:val="BodyText"/>
      </w:pPr>
      <w:r w:rsidRPr="003748C4">
        <w:t>Production horticulture (PHT)</w:t>
      </w:r>
    </w:p>
    <w:p w:rsidR="00000000" w:rsidRPr="003748C4" w:rsidP="003748C4">
      <w:pPr>
        <w:pStyle w:val="Heading1"/>
      </w:pPr>
      <w:bookmarkStart w:id="5" w:name="O_888810"/>
      <w:bookmarkEnd w:id="5"/>
      <w:r w:rsidRPr="003748C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D6E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Performance criteria</w:t>
            </w:r>
          </w:p>
        </w:tc>
      </w:tr>
      <w:tr w:rsidTr="00AD6E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Performance criteria describe the performance needed to demonstrate achievement of the element.</w:t>
            </w:r>
          </w:p>
        </w:tc>
      </w:tr>
      <w:tr w:rsidTr="00AD6E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List"/>
              <w:rPr>
                <w:lang w:val="en-NZ"/>
              </w:rPr>
            </w:pPr>
            <w:r w:rsidRPr="003748C4">
              <w:t>1.</w:t>
            </w:r>
            <w:r w:rsidRPr="003748C4">
              <w:tab/>
              <w:t xml:space="preserve">Confirm the requirements for Phase II mushroom substrate </w:t>
            </w:r>
            <w:r w:rsidRPr="003748C4">
              <w:t>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C4" w:rsidP="003748C4">
            <w:pPr>
              <w:pStyle w:val="List"/>
            </w:pPr>
            <w:r w:rsidRPr="003748C4">
              <w:t>1.1</w:t>
            </w:r>
            <w:r w:rsidRPr="003748C4">
              <w:tab/>
              <w:t>Monitor and manage Phase II mushroom substrate process and ensure that all equipmen</w:t>
            </w:r>
            <w:r w:rsidRPr="003748C4">
              <w:t>t is operated safely</w:t>
            </w:r>
          </w:p>
          <w:p w:rsidR="00000000" w:rsidRPr="003748C4" w:rsidP="003748C4">
            <w:pPr>
              <w:pStyle w:val="List"/>
            </w:pPr>
            <w:r w:rsidRPr="003748C4">
              <w:t>1.2</w:t>
            </w:r>
            <w:r w:rsidRPr="003748C4">
              <w:tab/>
              <w:t>Check to ensure all temperature probes are functioning correctly</w:t>
            </w:r>
          </w:p>
          <w:p w:rsidR="00000000" w:rsidRPr="003748C4" w:rsidP="003748C4">
            <w:pPr>
              <w:pStyle w:val="List"/>
            </w:pPr>
            <w:r w:rsidRPr="003748C4">
              <w:t>1.3</w:t>
            </w:r>
            <w:r w:rsidRPr="003748C4">
              <w:tab/>
              <w:t>Ensure site quarantine protocols and farm and personal hygiene requirements are followed</w:t>
            </w:r>
          </w:p>
          <w:p w:rsidR="00000000" w:rsidP="003748C4">
            <w:pPr>
              <w:pStyle w:val="List"/>
              <w:rPr>
                <w:lang w:val="en-NZ"/>
              </w:rPr>
            </w:pPr>
            <w:r w:rsidRPr="003748C4">
              <w:t>1.4</w:t>
            </w:r>
            <w:r w:rsidRPr="003748C4">
              <w:tab/>
              <w:t>Assess condition and quality of compost before filling</w:t>
            </w:r>
          </w:p>
        </w:tc>
      </w:tr>
      <w:tr w:rsidTr="00AD6E6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List"/>
              <w:rPr>
                <w:lang w:val="en-NZ"/>
              </w:rPr>
            </w:pPr>
            <w:r w:rsidRPr="003748C4">
              <w:t>2.</w:t>
            </w:r>
            <w:r w:rsidRPr="003748C4">
              <w:tab/>
              <w:t xml:space="preserve">Carry out </w:t>
            </w:r>
            <w:r w:rsidRPr="003748C4">
              <w:t>Phase II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C4" w:rsidP="003748C4">
            <w:pPr>
              <w:pStyle w:val="List"/>
            </w:pPr>
            <w:r w:rsidRPr="003748C4">
              <w:t>2.1</w:t>
            </w:r>
            <w:r w:rsidRPr="003748C4">
              <w:tab/>
              <w:t>Monitor placement of probes in air and substrate</w:t>
            </w:r>
          </w:p>
          <w:p w:rsidR="00000000" w:rsidRPr="003748C4" w:rsidP="003748C4">
            <w:pPr>
              <w:pStyle w:val="List"/>
            </w:pPr>
            <w:r w:rsidRPr="003748C4">
              <w:t>2.2</w:t>
            </w:r>
            <w:r w:rsidRPr="003748C4">
              <w:tab/>
              <w:t>Check the evenness of filling and the amount filled</w:t>
            </w:r>
          </w:p>
          <w:p w:rsidR="00000000" w:rsidRPr="003748C4" w:rsidP="003748C4">
            <w:pPr>
              <w:pStyle w:val="List"/>
            </w:pPr>
            <w:r w:rsidRPr="003748C4">
              <w:t>2.3</w:t>
            </w:r>
            <w:r w:rsidRPr="003748C4">
              <w:tab/>
              <w:t xml:space="preserve">Ensure doors are secure and vents and thermostats are set at completion of filling </w:t>
            </w:r>
          </w:p>
          <w:p w:rsidR="00000000" w:rsidRPr="003748C4" w:rsidP="003748C4">
            <w:pPr>
              <w:pStyle w:val="List"/>
            </w:pPr>
            <w:r w:rsidRPr="003748C4">
              <w:t>2.4</w:t>
            </w:r>
            <w:r w:rsidRPr="003748C4">
              <w:tab/>
              <w:t>Measure and record key factors and cri</w:t>
            </w:r>
            <w:r w:rsidRPr="003748C4">
              <w:t>tical points</w:t>
            </w:r>
          </w:p>
          <w:p w:rsidR="00000000" w:rsidRPr="003748C4" w:rsidP="003748C4">
            <w:pPr>
              <w:pStyle w:val="List"/>
            </w:pPr>
            <w:r w:rsidRPr="003748C4">
              <w:t>2.5</w:t>
            </w:r>
            <w:r w:rsidRPr="003748C4">
              <w:tab/>
              <w:t>Adjust equipment settings to ensure optimum conditions for each Phase II sub-stage</w:t>
            </w:r>
          </w:p>
          <w:p w:rsidR="00000000" w:rsidRPr="003748C4" w:rsidP="003748C4">
            <w:pPr>
              <w:pStyle w:val="List"/>
            </w:pPr>
            <w:r w:rsidRPr="003748C4">
              <w:t>2.6</w:t>
            </w:r>
            <w:r w:rsidRPr="003748C4">
              <w:tab/>
              <w:t>Take random representative samples for laboratory testing</w:t>
            </w:r>
          </w:p>
          <w:p w:rsidR="00000000" w:rsidRPr="003748C4" w:rsidP="003748C4">
            <w:pPr>
              <w:pStyle w:val="List"/>
            </w:pPr>
            <w:r w:rsidRPr="003748C4">
              <w:t>2.7</w:t>
            </w:r>
            <w:r w:rsidRPr="003748C4">
              <w:tab/>
              <w:t>Determine ammonia levels before cool down for spawning</w:t>
            </w:r>
          </w:p>
        </w:tc>
      </w:tr>
    </w:tbl>
    <w:p w:rsidR="00000000" w:rsidRPr="003748C4" w:rsidP="003748C4">
      <w:pPr>
        <w:pStyle w:val="BodyText"/>
      </w:pPr>
    </w:p>
    <w:p w:rsidR="00000000" w:rsidRPr="003748C4" w:rsidP="003748C4">
      <w:pPr>
        <w:pStyle w:val="AllowPageBreak"/>
      </w:pPr>
    </w:p>
    <w:p w:rsidR="00000000" w:rsidRPr="003748C4" w:rsidP="003748C4">
      <w:pPr>
        <w:pStyle w:val="Heading1"/>
      </w:pPr>
      <w:bookmarkStart w:id="6" w:name="O_888811"/>
      <w:bookmarkEnd w:id="6"/>
      <w:r w:rsidRPr="003748C4">
        <w:t>Foundation Skills</w:t>
      </w:r>
    </w:p>
    <w:p w:rsidR="00000000" w:rsidRPr="003748C4" w:rsidP="00AD6E6E">
      <w:pPr>
        <w:pStyle w:val="BodyText"/>
      </w:pPr>
      <w:r w:rsidRPr="003748C4">
        <w:t>Foundation Skills essential to performance are explicit in the performance criteria of this unit of competency.</w:t>
      </w:r>
    </w:p>
    <w:p w:rsidR="00000000" w:rsidRPr="003748C4" w:rsidP="003748C4">
      <w:pPr>
        <w:pStyle w:val="Heading1"/>
      </w:pPr>
      <w:bookmarkStart w:id="7" w:name="O_888812"/>
      <w:bookmarkEnd w:id="7"/>
      <w:r w:rsidRPr="003748C4">
        <w:t>Range of Conditions</w:t>
      </w:r>
    </w:p>
    <w:p w:rsidR="00000000" w:rsidRPr="003748C4" w:rsidP="003748C4">
      <w:pPr>
        <w:pStyle w:val="Heading1"/>
      </w:pPr>
      <w:bookmarkStart w:id="8" w:name="O_888813"/>
      <w:bookmarkEnd w:id="8"/>
      <w:r w:rsidRPr="003748C4">
        <w:t>Unit Mapping Information</w:t>
      </w:r>
    </w:p>
    <w:p w:rsidR="00000000" w:rsidRPr="003748C4" w:rsidP="00AD6E6E">
      <w:pPr>
        <w:pStyle w:val="BodyText"/>
      </w:pPr>
      <w:r w:rsidRPr="003748C4">
        <w:t>This unit is equivalent to AHCPHT406A Control Ph</w:t>
      </w:r>
      <w:r w:rsidRPr="003748C4">
        <w:t>ase II mushroom substrate process.</w:t>
      </w:r>
    </w:p>
    <w:p w:rsidR="00000000" w:rsidRPr="003748C4" w:rsidP="003748C4">
      <w:pPr>
        <w:pStyle w:val="Heading1"/>
      </w:pPr>
      <w:bookmarkStart w:id="9" w:name="O_888820"/>
      <w:bookmarkEnd w:id="9"/>
      <w:r w:rsidRPr="003748C4">
        <w:t>Links</w:t>
      </w:r>
    </w:p>
    <w:p w:rsidR="00000000" w:rsidRPr="003748C4" w:rsidP="00AD6E6E">
      <w:pPr>
        <w:pStyle w:val="BodyText"/>
      </w:pPr>
      <w:r w:rsidRPr="00374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20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48C4" w:rsidP="00AD6E6E">
      <w:pPr>
        <w:pStyle w:val="BodyText"/>
        <w:sectPr w:rsidSect="003748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48C4" w:rsidP="003748C4">
      <w:pPr>
        <w:pStyle w:val="SuperHeading"/>
      </w:pPr>
      <w:r w:rsidRPr="003748C4">
        <w:t>Asses</w:t>
      </w:r>
      <w:r w:rsidRPr="003748C4">
        <w:t>sment Requirements for AHCPHT406 Control Phase II mushroom substrate process</w:t>
      </w:r>
    </w:p>
    <w:p w:rsidR="00000000" w:rsidRPr="003748C4" w:rsidP="003748C4">
      <w:pPr>
        <w:pStyle w:val="Heading1"/>
      </w:pPr>
      <w:bookmarkStart w:id="10" w:name="O_888815"/>
      <w:bookmarkEnd w:id="10"/>
      <w:r w:rsidRPr="00374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TableHeading"/>
              <w:rPr>
                <w:lang w:val="en-NZ"/>
              </w:rPr>
            </w:pPr>
            <w:r w:rsidRPr="003748C4">
              <w:t>Comment</w:t>
            </w:r>
          </w:p>
        </w:tc>
      </w:tr>
      <w:tr w:rsidTr="00374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8C4">
            <w:pPr>
              <w:pStyle w:val="BodyText"/>
              <w:rPr>
                <w:lang w:val="en-NZ"/>
              </w:rPr>
            </w:pPr>
            <w:r w:rsidRPr="003748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8C4" w:rsidP="003748C4">
            <w:pPr>
              <w:pStyle w:val="BodyText"/>
            </w:pPr>
            <w:r w:rsidRPr="003748C4">
              <w:t>Initial release</w:t>
            </w:r>
          </w:p>
        </w:tc>
      </w:tr>
    </w:tbl>
    <w:p w:rsidR="00000000" w:rsidRPr="003748C4" w:rsidP="003748C4">
      <w:pPr>
        <w:pStyle w:val="BodyText"/>
      </w:pPr>
    </w:p>
    <w:p w:rsidR="00000000" w:rsidRPr="003748C4" w:rsidP="003748C4">
      <w:pPr>
        <w:pStyle w:val="AllowPageBreak"/>
      </w:pPr>
    </w:p>
    <w:p w:rsidR="00000000" w:rsidRPr="003748C4" w:rsidP="003748C4">
      <w:pPr>
        <w:pStyle w:val="Heading1"/>
      </w:pPr>
      <w:bookmarkStart w:id="11" w:name="O_888816"/>
      <w:bookmarkEnd w:id="11"/>
      <w:r w:rsidRPr="003748C4">
        <w:t>Performance Evidence</w:t>
      </w:r>
    </w:p>
    <w:p w:rsidR="00000000" w:rsidRPr="003748C4" w:rsidP="00AD6E6E">
      <w:pPr>
        <w:pStyle w:val="BodyText"/>
      </w:pPr>
      <w:r w:rsidRPr="003748C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748C4" w:rsidP="00AD6E6E">
      <w:pPr>
        <w:pStyle w:val="BodyText"/>
      </w:pPr>
      <w:r w:rsidRPr="003748C4">
        <w:t>The candidate must provid</w:t>
      </w:r>
      <w:r w:rsidRPr="003748C4">
        <w:t>e evidence that they can:</w:t>
      </w:r>
    </w:p>
    <w:p w:rsidR="00000000" w:rsidRPr="003748C4" w:rsidP="003748C4">
      <w:pPr>
        <w:pStyle w:val="ListBullet"/>
      </w:pPr>
      <w:r w:rsidRPr="003748C4">
        <w:t>assess room or tunnel layout and determine most appropriate locations for taking substrate and air measurements</w:t>
      </w:r>
    </w:p>
    <w:p w:rsidR="00000000" w:rsidRPr="003748C4" w:rsidP="003748C4">
      <w:pPr>
        <w:pStyle w:val="ListBullet"/>
      </w:pPr>
      <w:r w:rsidRPr="003748C4">
        <w:t>carry out effective troubleshooting during Phase II process</w:t>
      </w:r>
    </w:p>
    <w:p w:rsidR="00000000" w:rsidRPr="003748C4" w:rsidP="003748C4">
      <w:pPr>
        <w:pStyle w:val="ListBullet"/>
      </w:pPr>
      <w:r w:rsidRPr="003748C4">
        <w:t>differentiate between Phase I substrate and substrate rea</w:t>
      </w:r>
      <w:r w:rsidRPr="003748C4">
        <w:t xml:space="preserve">dy for spawning and describe desired parameters of each stage </w:t>
      </w:r>
    </w:p>
    <w:p w:rsidR="00000000" w:rsidRPr="003748C4" w:rsidP="003748C4">
      <w:pPr>
        <w:pStyle w:val="ListBullet"/>
      </w:pPr>
      <w:r w:rsidRPr="003748C4">
        <w:t>monitor and manage Phase II process for at least eight crops</w:t>
      </w:r>
    </w:p>
    <w:p w:rsidR="00000000" w:rsidRPr="003748C4" w:rsidP="003748C4">
      <w:pPr>
        <w:pStyle w:val="AllowPageBreak"/>
      </w:pPr>
    </w:p>
    <w:p w:rsidR="00000000" w:rsidRPr="003748C4" w:rsidP="003748C4">
      <w:pPr>
        <w:pStyle w:val="Heading1"/>
      </w:pPr>
      <w:bookmarkStart w:id="12" w:name="O_888817"/>
      <w:bookmarkEnd w:id="12"/>
      <w:r w:rsidRPr="003748C4">
        <w:t>Knowledge Evidence</w:t>
      </w:r>
    </w:p>
    <w:p w:rsidR="00000000" w:rsidRPr="003748C4" w:rsidP="00AD6E6E">
      <w:pPr>
        <w:pStyle w:val="BodyText"/>
      </w:pPr>
      <w:r w:rsidRPr="003748C4">
        <w:t>The candidate must demonstrate knowledge of:</w:t>
      </w:r>
    </w:p>
    <w:p w:rsidR="00000000" w:rsidRPr="003748C4" w:rsidP="003748C4">
      <w:pPr>
        <w:pStyle w:val="ListBullet"/>
      </w:pPr>
      <w:r w:rsidRPr="003748C4">
        <w:t xml:space="preserve">principles and practices for controlling Phase II </w:t>
      </w:r>
      <w:r w:rsidRPr="003748C4">
        <w:t>processes</w:t>
      </w:r>
    </w:p>
    <w:p w:rsidR="00000000" w:rsidRPr="003748C4" w:rsidP="003748C4">
      <w:pPr>
        <w:pStyle w:val="ListBullet2"/>
      </w:pPr>
      <w:r w:rsidRPr="003748C4">
        <w:t>concept of compost selectivity and biological indicators of compost quality</w:t>
      </w:r>
    </w:p>
    <w:p w:rsidR="00000000" w:rsidRPr="003748C4" w:rsidP="003748C4">
      <w:pPr>
        <w:pStyle w:val="ListBullet2"/>
      </w:pPr>
      <w:r w:rsidRPr="003748C4">
        <w:t>correct probe placement and calibration</w:t>
      </w:r>
    </w:p>
    <w:p w:rsidR="00000000" w:rsidRPr="003748C4" w:rsidP="003748C4">
      <w:pPr>
        <w:pStyle w:val="ListBullet2"/>
      </w:pPr>
      <w:r w:rsidRPr="003748C4">
        <w:t>factors influencing air quantity and distribution</w:t>
      </w:r>
    </w:p>
    <w:p w:rsidR="00000000" w:rsidRPr="003748C4" w:rsidP="003748C4">
      <w:pPr>
        <w:pStyle w:val="ListBullet2"/>
      </w:pPr>
      <w:r w:rsidRPr="003748C4">
        <w:t>farm standards and procedures, including those relating to workplace health and safety, food safety, Hazard Analysis Critical Control Point (HACCP), quality systems, emergency procedures, organisational structure</w:t>
      </w:r>
    </w:p>
    <w:p w:rsidR="00000000" w:rsidRPr="003748C4" w:rsidP="003748C4">
      <w:pPr>
        <w:pStyle w:val="ListBullet2"/>
      </w:pPr>
      <w:r w:rsidRPr="003748C4">
        <w:t>interpretation of chemical test results</w:t>
      </w:r>
    </w:p>
    <w:p w:rsidR="00000000" w:rsidRPr="003748C4" w:rsidP="003748C4">
      <w:pPr>
        <w:pStyle w:val="ListBullet2"/>
      </w:pPr>
      <w:r w:rsidRPr="003748C4">
        <w:t>how</w:t>
      </w:r>
      <w:r w:rsidRPr="003748C4">
        <w:t xml:space="preserve"> different systems (shelf, tray and tunnel) impact on temperature zones in substrate</w:t>
      </w:r>
    </w:p>
    <w:p w:rsidR="00000000" w:rsidRPr="003748C4" w:rsidP="003748C4">
      <w:pPr>
        <w:pStyle w:val="ListBullet2"/>
      </w:pPr>
      <w:r w:rsidRPr="003748C4">
        <w:t>key parameters to be recorded and monitored relating to temperature, ammonia and moisture content</w:t>
      </w:r>
    </w:p>
    <w:p w:rsidR="00000000" w:rsidRPr="003748C4" w:rsidP="003748C4">
      <w:pPr>
        <w:pStyle w:val="ListBullet2"/>
      </w:pPr>
      <w:r w:rsidRPr="003748C4">
        <w:t>objectives and desired parameters of each sub-stage of Phase II substrate</w:t>
      </w:r>
      <w:r w:rsidRPr="003748C4">
        <w:t xml:space="preserve"> preparation</w:t>
      </w:r>
    </w:p>
    <w:p w:rsidR="00000000" w:rsidRPr="003748C4" w:rsidP="003748C4">
      <w:pPr>
        <w:pStyle w:val="ListBullet2"/>
      </w:pPr>
      <w:r w:rsidRPr="003748C4">
        <w:t>overview of Phase I compost production and how it impacts on Phase II process</w:t>
      </w:r>
    </w:p>
    <w:p w:rsidR="00000000" w:rsidRPr="003748C4" w:rsidP="003748C4">
      <w:pPr>
        <w:pStyle w:val="ListBullet2"/>
      </w:pPr>
      <w:r w:rsidRPr="003748C4">
        <w:t>relevant legislation and industry codes of practice</w:t>
      </w:r>
    </w:p>
    <w:p w:rsidR="00000000" w:rsidRPr="003748C4" w:rsidP="003748C4">
      <w:pPr>
        <w:pStyle w:val="ListBullet2"/>
      </w:pPr>
      <w:r w:rsidRPr="003748C4">
        <w:t>site quarantine protocols</w:t>
      </w:r>
    </w:p>
    <w:p w:rsidR="00000000" w:rsidRPr="003748C4" w:rsidP="003748C4">
      <w:pPr>
        <w:pStyle w:val="AllowPageBreak"/>
      </w:pPr>
    </w:p>
    <w:p w:rsidR="00000000" w:rsidRPr="003748C4" w:rsidP="003748C4">
      <w:pPr>
        <w:pStyle w:val="Heading1"/>
      </w:pPr>
      <w:bookmarkStart w:id="13" w:name="O_888818"/>
      <w:bookmarkEnd w:id="13"/>
      <w:r w:rsidRPr="003748C4">
        <w:t>Assessment Conditions</w:t>
      </w:r>
    </w:p>
    <w:p w:rsidR="00000000" w:rsidRPr="003748C4" w:rsidP="00AD6E6E">
      <w:pPr>
        <w:pStyle w:val="BodyText"/>
      </w:pPr>
      <w:r w:rsidRPr="003748C4">
        <w:t>Assessors must satisfy current standards for RTO</w:t>
      </w:r>
      <w:r w:rsidRPr="003748C4">
        <w:t>s.</w:t>
      </w:r>
    </w:p>
    <w:p w:rsidR="00000000" w:rsidRPr="003748C4" w:rsidP="003748C4">
      <w:pPr>
        <w:pStyle w:val="Heading1"/>
      </w:pPr>
      <w:bookmarkStart w:id="14" w:name="O_888821"/>
      <w:bookmarkEnd w:id="14"/>
      <w:r w:rsidRPr="003748C4">
        <w:t>Links</w:t>
      </w:r>
    </w:p>
    <w:p w:rsidR="00000000" w:rsidRPr="003748C4" w:rsidP="00AD6E6E">
      <w:pPr>
        <w:pStyle w:val="BodyText"/>
      </w:pPr>
      <w:r w:rsidRPr="00374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20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48C4" w:rsidP="003748C4"/>
    <w:sectPr w:rsidSect="003748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 w:rsidRPr="00AD6E6E" w:rsidP="00AD6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6E" w:rsidP="00374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E6E" w:rsidP="00374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6E6E" w:rsidP="003748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 w:rsidP="00374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6E6E">
      <w:t>Approved</w:t>
    </w:r>
    <w:r w:rsidR="00AD6E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6E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6E6E">
      <w:rPr>
        <w:noProof/>
      </w:rPr>
      <w:t>4</w:t>
    </w:r>
    <w:r>
      <w:rPr>
        <w:noProof/>
      </w:rPr>
      <w:fldChar w:fldCharType="end"/>
    </w:r>
  </w:p>
  <w:p w:rsidR="003748C4" w:rsidP="00374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6E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6E6E">
      <w:t>Skills Insight</w:t>
    </w:r>
    <w:r w:rsidR="00AD6E6E">
      <w:fldChar w:fldCharType="end"/>
    </w:r>
  </w:p>
  <w:p w:rsidR="003748C4" w:rsidP="00374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8C4" w:rsidRPr="00AD6E6E" w:rsidP="00AD6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6E" w:rsidRPr="002D2AF8" w:rsidP="00374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AHCPHT406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6E6E" w:rsidP="003748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C4" w:rsidRPr="002D2AF8" w:rsidP="00374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6E6E">
      <w:t>AHCPHT406 Control Phase II mushroom substrate process</w:t>
    </w:r>
    <w:r w:rsidR="00AD6E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6E6E">
      <w:rPr>
        <w:noProof/>
      </w:rPr>
      <w:t>1 March 2025</w:t>
    </w:r>
    <w:r>
      <w:fldChar w:fldCharType="end"/>
    </w:r>
  </w:p>
  <w:p w:rsidR="003748C4" w:rsidP="00374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84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100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AAF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8C4"/>
  </w:style>
  <w:style w:type="character" w:customStyle="1" w:styleId="Heading1Char">
    <w:name w:val="Heading 1 Char"/>
    <w:basedOn w:val="DefaultParagraphFont"/>
    <w:link w:val="Heading1"/>
    <w:rsid w:val="00374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8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4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48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48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48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4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8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4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8C4"/>
    <w:rPr>
      <w:b/>
      <w:spacing w:val="0"/>
    </w:rPr>
  </w:style>
  <w:style w:type="paragraph" w:customStyle="1" w:styleId="SuperTitle">
    <w:name w:val="SuperTitle"/>
    <w:basedOn w:val="Title"/>
    <w:rsid w:val="00374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8C4"/>
    <w:rPr>
      <w:i/>
    </w:rPr>
  </w:style>
  <w:style w:type="paragraph" w:styleId="Caption">
    <w:name w:val="caption"/>
    <w:basedOn w:val="BodyText"/>
    <w:next w:val="Normal"/>
    <w:qFormat/>
    <w:rsid w:val="00374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8C4"/>
  </w:style>
  <w:style w:type="paragraph" w:styleId="TableofFigures">
    <w:name w:val="table of figures"/>
    <w:basedOn w:val="Normal"/>
    <w:next w:val="Normal"/>
    <w:semiHidden/>
    <w:rsid w:val="00374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8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8C4"/>
    <w:rPr>
      <w:rFonts w:ascii="Wingdings" w:hAnsi="Wingdings"/>
    </w:rPr>
  </w:style>
  <w:style w:type="character" w:customStyle="1" w:styleId="HotSpot">
    <w:name w:val="HotSpot"/>
    <w:rsid w:val="003748C4"/>
    <w:rPr>
      <w:color w:val="0033CC"/>
      <w:u w:val="none"/>
    </w:rPr>
  </w:style>
  <w:style w:type="paragraph" w:customStyle="1" w:styleId="BodyTextRight">
    <w:name w:val="Body Text Right"/>
    <w:basedOn w:val="BodyText"/>
    <w:rsid w:val="00374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8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8C4"/>
    <w:rPr>
      <w:sz w:val="32"/>
    </w:rPr>
  </w:style>
  <w:style w:type="paragraph" w:customStyle="1" w:styleId="HeadingProcedure">
    <w:name w:val="Heading Procedure"/>
    <w:basedOn w:val="HeadingBase"/>
    <w:next w:val="Normal"/>
    <w:rsid w:val="00374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8C4"/>
    <w:pPr>
      <w:spacing w:before="60" w:after="60"/>
    </w:pPr>
  </w:style>
  <w:style w:type="paragraph" w:styleId="ListContinue">
    <w:name w:val="List Continue"/>
    <w:basedOn w:val="List"/>
    <w:rsid w:val="003748C4"/>
    <w:pPr>
      <w:ind w:firstLine="0"/>
    </w:pPr>
  </w:style>
  <w:style w:type="paragraph" w:customStyle="1" w:styleId="ListNote">
    <w:name w:val="List Note"/>
    <w:basedOn w:val="List"/>
    <w:rsid w:val="00374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8C4"/>
    <w:rPr>
      <w:rFonts w:ascii="Courier New" w:hAnsi="Courier New"/>
    </w:rPr>
  </w:style>
  <w:style w:type="paragraph" w:customStyle="1" w:styleId="NoteBullet">
    <w:name w:val="Note Bullet"/>
    <w:basedOn w:val="Note"/>
    <w:rsid w:val="00374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8C4"/>
    <w:rPr>
      <w:b/>
      <w:smallCaps/>
    </w:rPr>
  </w:style>
  <w:style w:type="paragraph" w:customStyle="1" w:styleId="TableListNumber">
    <w:name w:val="Table List Number"/>
    <w:basedOn w:val="ListNumber"/>
    <w:rsid w:val="00374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8C4"/>
    <w:pPr>
      <w:numPr>
        <w:numId w:val="9"/>
      </w:numPr>
    </w:pPr>
  </w:style>
  <w:style w:type="paragraph" w:customStyle="1" w:styleId="ListAlpha2">
    <w:name w:val="List Alpha 2"/>
    <w:basedOn w:val="List2"/>
    <w:rsid w:val="003748C4"/>
    <w:pPr>
      <w:numPr>
        <w:numId w:val="8"/>
      </w:numPr>
    </w:pPr>
  </w:style>
  <w:style w:type="paragraph" w:styleId="List2">
    <w:name w:val="List 2"/>
    <w:basedOn w:val="BodyText"/>
    <w:rsid w:val="00374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8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8C4"/>
    <w:pPr>
      <w:numPr>
        <w:numId w:val="4"/>
      </w:numPr>
    </w:pPr>
  </w:style>
  <w:style w:type="paragraph" w:styleId="ListContinue2">
    <w:name w:val="List Continue 2"/>
    <w:basedOn w:val="List2"/>
    <w:rsid w:val="003748C4"/>
    <w:pPr>
      <w:ind w:firstLine="0"/>
    </w:pPr>
  </w:style>
  <w:style w:type="paragraph" w:styleId="ListContinue3">
    <w:name w:val="List Continue 3"/>
    <w:basedOn w:val="List3"/>
    <w:rsid w:val="003748C4"/>
    <w:pPr>
      <w:ind w:left="1021" w:firstLine="0"/>
    </w:pPr>
  </w:style>
  <w:style w:type="paragraph" w:styleId="ListContinue4">
    <w:name w:val="List Continue 4"/>
    <w:basedOn w:val="List4"/>
    <w:rsid w:val="003748C4"/>
    <w:pPr>
      <w:ind w:firstLine="0"/>
    </w:pPr>
  </w:style>
  <w:style w:type="paragraph" w:styleId="ListContinue5">
    <w:name w:val="List Continue 5"/>
    <w:basedOn w:val="List5"/>
    <w:rsid w:val="003748C4"/>
    <w:pPr>
      <w:ind w:firstLine="0"/>
    </w:pPr>
  </w:style>
  <w:style w:type="paragraph" w:styleId="ListNumber3">
    <w:name w:val="List Number 3"/>
    <w:basedOn w:val="List3"/>
    <w:rsid w:val="003748C4"/>
    <w:pPr>
      <w:numPr>
        <w:numId w:val="5"/>
      </w:numPr>
    </w:pPr>
  </w:style>
  <w:style w:type="paragraph" w:styleId="ListNumber4">
    <w:name w:val="List Number 4"/>
    <w:basedOn w:val="List4"/>
    <w:rsid w:val="003748C4"/>
    <w:pPr>
      <w:numPr>
        <w:numId w:val="6"/>
      </w:numPr>
    </w:pPr>
  </w:style>
  <w:style w:type="paragraph" w:styleId="ListNumber5">
    <w:name w:val="List Number 5"/>
    <w:basedOn w:val="List5"/>
    <w:rsid w:val="003748C4"/>
    <w:pPr>
      <w:numPr>
        <w:numId w:val="7"/>
      </w:numPr>
    </w:pPr>
  </w:style>
  <w:style w:type="paragraph" w:styleId="BlockText">
    <w:name w:val="Block Text"/>
    <w:basedOn w:val="Normal"/>
    <w:rsid w:val="00374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8C4"/>
    <w:rPr>
      <w:sz w:val="16"/>
      <w:vertAlign w:val="superscript"/>
    </w:rPr>
  </w:style>
  <w:style w:type="character" w:customStyle="1" w:styleId="Symbols">
    <w:name w:val="Symbols"/>
    <w:basedOn w:val="DefaultParagraphFont"/>
    <w:rsid w:val="003748C4"/>
    <w:rPr>
      <w:rFonts w:ascii="Symbol" w:hAnsi="Symbol"/>
    </w:rPr>
  </w:style>
  <w:style w:type="character" w:customStyle="1" w:styleId="MenuOptions">
    <w:name w:val="Menu Options"/>
    <w:basedOn w:val="DefaultParagraphFont"/>
    <w:rsid w:val="00374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8C4"/>
    <w:rPr>
      <w:b/>
    </w:rPr>
  </w:style>
  <w:style w:type="character" w:customStyle="1" w:styleId="Underlined">
    <w:name w:val="Underlined"/>
    <w:basedOn w:val="DefaultParagraphFont"/>
    <w:rsid w:val="003748C4"/>
    <w:rPr>
      <w:u w:val="single"/>
    </w:rPr>
  </w:style>
  <w:style w:type="paragraph" w:customStyle="1" w:styleId="TableBodyTextRight">
    <w:name w:val="Table Body Text Right"/>
    <w:basedOn w:val="TableBodyText"/>
    <w:rsid w:val="00374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8C4"/>
    <w:rPr>
      <w:sz w:val="18"/>
    </w:rPr>
  </w:style>
  <w:style w:type="paragraph" w:customStyle="1" w:styleId="BodySmallRight">
    <w:name w:val="Body Small Right"/>
    <w:basedOn w:val="BodyTextRight"/>
    <w:rsid w:val="003748C4"/>
    <w:rPr>
      <w:sz w:val="18"/>
      <w:szCs w:val="18"/>
    </w:rPr>
  </w:style>
  <w:style w:type="paragraph" w:customStyle="1" w:styleId="MarginEdition">
    <w:name w:val="Margin Edition"/>
    <w:basedOn w:val="MarginNote"/>
    <w:rsid w:val="00374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8C4"/>
    <w:rPr>
      <w:sz w:val="2"/>
      <w:szCs w:val="2"/>
    </w:rPr>
  </w:style>
  <w:style w:type="character" w:customStyle="1" w:styleId="Small">
    <w:name w:val="Small"/>
    <w:basedOn w:val="DefaultParagraphFont"/>
    <w:rsid w:val="003748C4"/>
    <w:rPr>
      <w:sz w:val="16"/>
    </w:rPr>
  </w:style>
  <w:style w:type="paragraph" w:customStyle="1" w:styleId="WideTable">
    <w:name w:val="Wide Table"/>
    <w:basedOn w:val="Normal"/>
    <w:rsid w:val="00374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8C4"/>
  </w:style>
  <w:style w:type="paragraph" w:styleId="Quote">
    <w:name w:val="Quote"/>
    <w:basedOn w:val="Heading1"/>
    <w:link w:val="QuoteChar"/>
    <w:qFormat/>
    <w:rsid w:val="00374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8C4"/>
    <w:pPr>
      <w:pageBreakBefore/>
    </w:pPr>
  </w:style>
  <w:style w:type="paragraph" w:customStyle="1" w:styleId="Border">
    <w:name w:val="Border"/>
    <w:basedOn w:val="Normal"/>
    <w:qFormat/>
    <w:rsid w:val="00374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8C4"/>
    <w:rPr>
      <w:u w:val="single"/>
    </w:rPr>
  </w:style>
  <w:style w:type="character" w:customStyle="1" w:styleId="BoldandItalics">
    <w:name w:val="Bold and Italics"/>
    <w:qFormat/>
    <w:rsid w:val="003748C4"/>
    <w:rPr>
      <w:b/>
      <w:i/>
      <w:u w:val="none"/>
    </w:rPr>
  </w:style>
  <w:style w:type="paragraph" w:styleId="BalloonText">
    <w:name w:val="Balloon Text"/>
    <w:basedOn w:val="Normal"/>
    <w:link w:val="BalloonTextChar"/>
    <w:rsid w:val="00374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8C4"/>
    <w:pPr>
      <w:spacing w:before="0" w:after="0"/>
    </w:pPr>
  </w:style>
  <w:style w:type="paragraph" w:customStyle="1" w:styleId="BodyTextBold">
    <w:name w:val="Body Text Bold"/>
    <w:basedOn w:val="BodyText"/>
    <w:qFormat/>
    <w:rsid w:val="003748C4"/>
    <w:rPr>
      <w:b/>
    </w:rPr>
  </w:style>
  <w:style w:type="character" w:styleId="Hyperlink">
    <w:name w:val="Hyperlink"/>
    <w:basedOn w:val="DefaultParagraphFont"/>
    <w:uiPriority w:val="99"/>
    <w:unhideWhenUsed/>
    <w:rsid w:val="00AD6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4038</Characters>
  <Application>Microsoft Office Word</Application>
  <DocSecurity>0</DocSecurity>
  <Lines>134</Lines>
  <Paragraphs>91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AHCPHT406 Control Phase II mushroom substrate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