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B1E" w:rsidP="00A10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AHCPGD401 Design plant displays</w:t>
      </w:r>
      <w:r>
        <w:fldChar w:fldCharType="end"/>
      </w:r>
    </w:p>
    <w:p w:rsidR="00A10B1E" w:rsidP="00A10B1E">
      <w:pPr>
        <w:pStyle w:val="Version"/>
        <w:sectPr w:rsidSect="00131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E2B" w:rsidP="00131E2B">
      <w:pPr>
        <w:pStyle w:val="SuperHeading"/>
      </w:pPr>
      <w:r w:rsidRPr="00131E2B">
        <w:t>AHCPGD401 Design plant displays</w:t>
      </w:r>
    </w:p>
    <w:p w:rsidR="00000000" w:rsidRPr="00131E2B" w:rsidP="00131E2B">
      <w:pPr>
        <w:pStyle w:val="Heading1"/>
      </w:pPr>
      <w:bookmarkStart w:id="1" w:name="O_888577"/>
      <w:bookmarkEnd w:id="1"/>
      <w:r w:rsidRPr="00131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1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TableHeading"/>
              <w:rPr>
                <w:lang w:val="en-NZ"/>
              </w:rPr>
            </w:pPr>
            <w:r w:rsidRPr="00131E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TableHeading"/>
              <w:rPr>
                <w:lang w:val="en-NZ"/>
              </w:rPr>
            </w:pPr>
            <w:r w:rsidRPr="00131E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TableHeading"/>
              <w:rPr>
                <w:lang w:val="en-NZ"/>
              </w:rPr>
            </w:pPr>
            <w:r w:rsidRPr="00131E2B">
              <w:t>Comment</w:t>
            </w:r>
          </w:p>
        </w:tc>
      </w:tr>
      <w:tr w:rsidTr="00131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BodyText"/>
              <w:rPr>
                <w:lang w:val="en-NZ"/>
              </w:rPr>
            </w:pPr>
            <w:r w:rsidRPr="00131E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BodyText"/>
              <w:rPr>
                <w:lang w:val="en-NZ"/>
              </w:rPr>
            </w:pPr>
            <w:r w:rsidRPr="00131E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2B" w:rsidP="00131E2B">
            <w:pPr>
              <w:pStyle w:val="BodyText"/>
            </w:pPr>
            <w:r w:rsidRPr="00131E2B">
              <w:t>Initial release</w:t>
            </w:r>
          </w:p>
        </w:tc>
      </w:tr>
    </w:tbl>
    <w:p w:rsidR="00000000" w:rsidRPr="00131E2B" w:rsidP="00131E2B">
      <w:pPr>
        <w:pStyle w:val="BodyText"/>
      </w:pPr>
    </w:p>
    <w:p w:rsidR="00000000" w:rsidRPr="00131E2B" w:rsidP="00131E2B">
      <w:pPr>
        <w:pStyle w:val="AllowPageBreak"/>
      </w:pPr>
    </w:p>
    <w:p w:rsidR="00000000" w:rsidRPr="00131E2B" w:rsidP="00131E2B">
      <w:pPr>
        <w:pStyle w:val="Heading1"/>
      </w:pPr>
      <w:bookmarkStart w:id="2" w:name="O_888578"/>
      <w:bookmarkEnd w:id="2"/>
      <w:r w:rsidRPr="00131E2B">
        <w:t>Application</w:t>
      </w:r>
    </w:p>
    <w:p w:rsidR="00000000" w:rsidRPr="00131E2B" w:rsidP="00A10B1E">
      <w:pPr>
        <w:pStyle w:val="BodyText"/>
      </w:pPr>
      <w:r w:rsidRPr="00131E2B">
        <w:t>This unit of competency describes the skills and knowledge required to design plant displays in a wide range of locations and situations, buildings and structures. It applies to permanent, semi-permanent and temporary displays of plant life under a range o</w:t>
      </w:r>
      <w:r w:rsidRPr="00131E2B">
        <w:t>f gardening, exhibition, visual merchandising, marketing and commercial leasing and hiring activities.</w:t>
      </w:r>
    </w:p>
    <w:p w:rsidR="00000000" w:rsidRPr="00131E2B" w:rsidP="00A10B1E">
      <w:pPr>
        <w:pStyle w:val="BodyText"/>
      </w:pPr>
      <w:r w:rsidRPr="00131E2B">
        <w:t>It applies to individuals who analyse information and exercise judgement to complete a range of advanced skilled activities and demonstrate deep knowled</w:t>
      </w:r>
      <w:r w:rsidRPr="00131E2B">
        <w:t>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131E2B" w:rsidP="00A10B1E">
      <w:pPr>
        <w:pStyle w:val="BodyText"/>
      </w:pPr>
      <w:r w:rsidRPr="00131E2B">
        <w:t>No occupational licensing, legislat</w:t>
      </w:r>
      <w:r w:rsidRPr="00131E2B">
        <w:t>ive or certification requirements are known to apply to this unit at the time of publication.</w:t>
      </w:r>
    </w:p>
    <w:p w:rsidR="00000000" w:rsidRPr="00131E2B" w:rsidP="00131E2B">
      <w:pPr>
        <w:pStyle w:val="Heading1"/>
      </w:pPr>
      <w:bookmarkStart w:id="3" w:name="O_888579"/>
      <w:bookmarkEnd w:id="3"/>
      <w:r w:rsidRPr="00131E2B">
        <w:t>Pre-requisite Unit</w:t>
      </w:r>
    </w:p>
    <w:p w:rsidR="00000000" w:rsidRPr="00131E2B" w:rsidP="00A10B1E">
      <w:pPr>
        <w:pStyle w:val="BodyText"/>
      </w:pPr>
      <w:r w:rsidRPr="00131E2B">
        <w:t>Nil.</w:t>
      </w:r>
    </w:p>
    <w:p w:rsidR="00000000" w:rsidRPr="00131E2B" w:rsidP="00131E2B">
      <w:pPr>
        <w:pStyle w:val="Heading1"/>
      </w:pPr>
      <w:bookmarkStart w:id="4" w:name="O_888581"/>
      <w:bookmarkEnd w:id="4"/>
      <w:r w:rsidRPr="00131E2B">
        <w:t>Unit Sector</w:t>
      </w:r>
    </w:p>
    <w:p w:rsidR="00000000" w:rsidRPr="00131E2B" w:rsidP="00A10B1E">
      <w:pPr>
        <w:pStyle w:val="BodyText"/>
      </w:pPr>
      <w:r w:rsidRPr="00131E2B">
        <w:t>Parks and gardens (PGD)</w:t>
      </w:r>
    </w:p>
    <w:p w:rsidR="00000000" w:rsidRPr="00131E2B" w:rsidP="00131E2B">
      <w:pPr>
        <w:pStyle w:val="Heading1"/>
      </w:pPr>
      <w:bookmarkStart w:id="5" w:name="O_888582"/>
      <w:bookmarkEnd w:id="5"/>
      <w:r w:rsidRPr="00131E2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10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TableHeading"/>
              <w:rPr>
                <w:lang w:val="en-NZ"/>
              </w:rPr>
            </w:pPr>
            <w:r w:rsidRPr="00131E2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TableHeading"/>
              <w:rPr>
                <w:lang w:val="en-NZ"/>
              </w:rPr>
            </w:pPr>
            <w:r w:rsidRPr="00131E2B">
              <w:t>Performan</w:t>
            </w:r>
            <w:r w:rsidRPr="00131E2B">
              <w:t>ce criteria</w:t>
            </w:r>
          </w:p>
        </w:tc>
      </w:tr>
      <w:tr w:rsidTr="00A10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BodyText"/>
              <w:rPr>
                <w:lang w:val="en-NZ"/>
              </w:rPr>
            </w:pPr>
            <w:r w:rsidRPr="00131E2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BodyText"/>
              <w:rPr>
                <w:lang w:val="en-NZ"/>
              </w:rPr>
            </w:pPr>
            <w:r w:rsidRPr="00131E2B">
              <w:t>Performance criteria describe the performance needed to demonstrate achievement of the element.</w:t>
            </w:r>
          </w:p>
        </w:tc>
      </w:tr>
      <w:tr w:rsidTr="00A10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List"/>
              <w:rPr>
                <w:lang w:val="en-NZ"/>
              </w:rPr>
            </w:pPr>
            <w:r w:rsidRPr="00131E2B">
              <w:t>1.</w:t>
            </w:r>
            <w:r w:rsidRPr="00131E2B">
              <w:tab/>
              <w:t xml:space="preserve">Develop the design </w:t>
            </w:r>
            <w:r w:rsidRPr="00131E2B">
              <w:t>concept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2B" w:rsidP="00131E2B">
            <w:pPr>
              <w:pStyle w:val="List"/>
            </w:pPr>
            <w:r w:rsidRPr="00131E2B">
              <w:t>1.1</w:t>
            </w:r>
            <w:r w:rsidRPr="00131E2B">
              <w:tab/>
            </w:r>
            <w:r w:rsidRPr="00131E2B">
              <w:t xml:space="preserve">Consult with client to establish the purpose and requirements of </w:t>
            </w:r>
            <w:r w:rsidRPr="00131E2B">
              <w:t>the design</w:t>
            </w:r>
          </w:p>
          <w:p w:rsidR="00000000" w:rsidRPr="00131E2B" w:rsidP="00131E2B">
            <w:pPr>
              <w:pStyle w:val="List"/>
            </w:pPr>
            <w:r w:rsidRPr="00131E2B">
              <w:t>1.2</w:t>
            </w:r>
            <w:r w:rsidRPr="00131E2B">
              <w:tab/>
              <w:t>Evaluate site or location for aesthetic, environmental and physical attributes</w:t>
            </w:r>
          </w:p>
          <w:p w:rsidR="00000000" w:rsidRPr="00131E2B" w:rsidP="00131E2B">
            <w:pPr>
              <w:pStyle w:val="List"/>
            </w:pPr>
            <w:r w:rsidRPr="00131E2B">
              <w:t>1.3</w:t>
            </w:r>
            <w:r w:rsidRPr="00131E2B">
              <w:tab/>
              <w:t>Determine timelines for display and incorporate into the plan</w:t>
            </w:r>
          </w:p>
          <w:p w:rsidR="00000000" w:rsidRPr="00131E2B" w:rsidP="00131E2B">
            <w:pPr>
              <w:pStyle w:val="List"/>
            </w:pPr>
            <w:r w:rsidRPr="00131E2B">
              <w:t>1.4</w:t>
            </w:r>
            <w:r w:rsidRPr="00131E2B">
              <w:tab/>
              <w:t>Clarify budget parameters f</w:t>
            </w:r>
            <w:r w:rsidRPr="00131E2B">
              <w:t>or concept plan with client or manager</w:t>
            </w:r>
          </w:p>
          <w:p w:rsidR="00000000" w:rsidP="00131E2B">
            <w:pPr>
              <w:pStyle w:val="List"/>
              <w:rPr>
                <w:lang w:val="en-NZ"/>
              </w:rPr>
            </w:pPr>
            <w:r w:rsidRPr="00131E2B">
              <w:t>1.5</w:t>
            </w:r>
            <w:r w:rsidRPr="00131E2B">
              <w:tab/>
              <w:t>Develop concept plan using common horticultural conventions</w:t>
            </w:r>
          </w:p>
        </w:tc>
      </w:tr>
      <w:tr w:rsidTr="00A10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List"/>
              <w:rPr>
                <w:lang w:val="en-NZ"/>
              </w:rPr>
            </w:pPr>
            <w:r w:rsidRPr="00131E2B">
              <w:t>2.</w:t>
            </w:r>
            <w:r w:rsidRPr="00131E2B">
              <w:tab/>
              <w:t>Ensure compliance with the design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2B" w:rsidP="00131E2B">
            <w:pPr>
              <w:pStyle w:val="List"/>
            </w:pPr>
            <w:r w:rsidRPr="00131E2B">
              <w:t>2.1</w:t>
            </w:r>
            <w:r w:rsidRPr="00131E2B">
              <w:tab/>
              <w:t>Present concept plan to client and negotiate agreement on design</w:t>
            </w:r>
          </w:p>
          <w:p w:rsidR="00000000" w:rsidRPr="00131E2B" w:rsidP="00131E2B">
            <w:pPr>
              <w:pStyle w:val="List"/>
            </w:pPr>
            <w:r w:rsidRPr="00131E2B">
              <w:t>2.2</w:t>
            </w:r>
            <w:r w:rsidRPr="00131E2B">
              <w:tab/>
              <w:t>Develop final design plan documentati</w:t>
            </w:r>
            <w:r w:rsidRPr="00131E2B">
              <w:t>on</w:t>
            </w:r>
          </w:p>
          <w:p w:rsidR="00000000" w:rsidRPr="00131E2B" w:rsidP="00131E2B">
            <w:pPr>
              <w:pStyle w:val="List"/>
            </w:pPr>
            <w:r w:rsidRPr="00131E2B">
              <w:t>2.3</w:t>
            </w:r>
            <w:r w:rsidRPr="00131E2B">
              <w:tab/>
              <w:t>Inspect plants and display materials prior to installation to ensure they meet required quality standard</w:t>
            </w:r>
          </w:p>
          <w:p w:rsidR="00000000" w:rsidRPr="00131E2B" w:rsidP="00131E2B">
            <w:pPr>
              <w:pStyle w:val="List"/>
            </w:pPr>
            <w:r w:rsidRPr="00131E2B">
              <w:t>2.4</w:t>
            </w:r>
            <w:r w:rsidRPr="00131E2B">
              <w:tab/>
              <w:t>Inspect plant display to ensure compliance with design plan</w:t>
            </w:r>
          </w:p>
        </w:tc>
      </w:tr>
    </w:tbl>
    <w:p w:rsidR="00000000" w:rsidRPr="00131E2B" w:rsidP="00131E2B">
      <w:pPr>
        <w:pStyle w:val="BodyText"/>
      </w:pPr>
    </w:p>
    <w:p w:rsidR="00000000" w:rsidRPr="00131E2B" w:rsidP="00131E2B">
      <w:pPr>
        <w:pStyle w:val="AllowPageBreak"/>
      </w:pPr>
    </w:p>
    <w:p w:rsidR="00000000" w:rsidRPr="00131E2B" w:rsidP="00131E2B">
      <w:pPr>
        <w:pStyle w:val="Heading1"/>
      </w:pPr>
      <w:bookmarkStart w:id="6" w:name="O_888583"/>
      <w:bookmarkEnd w:id="6"/>
      <w:r w:rsidRPr="00131E2B">
        <w:t>Foundation Skills</w:t>
      </w:r>
    </w:p>
    <w:p w:rsidR="00000000" w:rsidRPr="00131E2B" w:rsidP="00A10B1E">
      <w:pPr>
        <w:pStyle w:val="BodyText"/>
      </w:pPr>
      <w:r w:rsidRPr="00131E2B">
        <w:t>Foundation Skills essential to performance are explicit in the performance criteria of this unit of competency.</w:t>
      </w:r>
    </w:p>
    <w:p w:rsidR="00000000" w:rsidRPr="00131E2B" w:rsidP="00131E2B">
      <w:pPr>
        <w:pStyle w:val="Heading1"/>
      </w:pPr>
      <w:bookmarkStart w:id="7" w:name="O_888584"/>
      <w:bookmarkEnd w:id="7"/>
      <w:r w:rsidRPr="00131E2B">
        <w:t>Range of Conditions</w:t>
      </w:r>
    </w:p>
    <w:p w:rsidR="00000000" w:rsidRPr="00131E2B" w:rsidP="00131E2B">
      <w:pPr>
        <w:pStyle w:val="Heading1"/>
      </w:pPr>
      <w:bookmarkStart w:id="8" w:name="O_888585"/>
      <w:bookmarkEnd w:id="8"/>
      <w:r w:rsidRPr="00131E2B">
        <w:t>Unit Mapping Information</w:t>
      </w:r>
    </w:p>
    <w:p w:rsidR="00000000" w:rsidRPr="00131E2B" w:rsidP="00A10B1E">
      <w:pPr>
        <w:pStyle w:val="BodyText"/>
      </w:pPr>
      <w:r w:rsidRPr="00131E2B">
        <w:t>This unit is equivalent to AHCPGD401A Design plant displays.</w:t>
      </w:r>
    </w:p>
    <w:p w:rsidR="00000000" w:rsidRPr="00131E2B" w:rsidP="00131E2B">
      <w:pPr>
        <w:pStyle w:val="Heading1"/>
      </w:pPr>
      <w:bookmarkStart w:id="9" w:name="O_888592"/>
      <w:bookmarkEnd w:id="9"/>
      <w:r w:rsidRPr="00131E2B">
        <w:t>Links</w:t>
      </w:r>
    </w:p>
    <w:p w:rsidR="00000000" w:rsidRPr="00131E2B" w:rsidP="00A10B1E">
      <w:pPr>
        <w:pStyle w:val="BodyText"/>
      </w:pPr>
      <w:r w:rsidRPr="00131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3E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1E2B" w:rsidP="00A10B1E">
      <w:pPr>
        <w:pStyle w:val="BodyText"/>
        <w:sectPr w:rsidSect="00131E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E2B" w:rsidP="00131E2B">
      <w:pPr>
        <w:pStyle w:val="SuperHeading"/>
      </w:pPr>
      <w:r w:rsidRPr="00131E2B">
        <w:t xml:space="preserve">Assessment Requirements for AHCPGD401 Design </w:t>
      </w:r>
      <w:r w:rsidRPr="00131E2B">
        <w:t>plant displays</w:t>
      </w:r>
    </w:p>
    <w:p w:rsidR="00000000" w:rsidRPr="00131E2B" w:rsidP="00131E2B">
      <w:pPr>
        <w:pStyle w:val="Heading1"/>
      </w:pPr>
      <w:bookmarkStart w:id="10" w:name="O_888587"/>
      <w:bookmarkEnd w:id="10"/>
      <w:r w:rsidRPr="00131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1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TableHeading"/>
              <w:rPr>
                <w:lang w:val="en-NZ"/>
              </w:rPr>
            </w:pPr>
            <w:r w:rsidRPr="00131E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TableHeading"/>
              <w:rPr>
                <w:lang w:val="en-NZ"/>
              </w:rPr>
            </w:pPr>
            <w:r w:rsidRPr="00131E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TableHeading"/>
              <w:rPr>
                <w:lang w:val="en-NZ"/>
              </w:rPr>
            </w:pPr>
            <w:r w:rsidRPr="00131E2B">
              <w:t>Comment</w:t>
            </w:r>
          </w:p>
        </w:tc>
      </w:tr>
      <w:tr w:rsidTr="00131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BodyText"/>
              <w:rPr>
                <w:lang w:val="en-NZ"/>
              </w:rPr>
            </w:pPr>
            <w:r w:rsidRPr="00131E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E2B">
            <w:pPr>
              <w:pStyle w:val="BodyText"/>
              <w:rPr>
                <w:lang w:val="en-NZ"/>
              </w:rPr>
            </w:pPr>
            <w:r w:rsidRPr="00131E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E2B" w:rsidP="00131E2B">
            <w:pPr>
              <w:pStyle w:val="BodyText"/>
            </w:pPr>
            <w:r w:rsidRPr="00131E2B">
              <w:t>Initial release</w:t>
            </w:r>
          </w:p>
        </w:tc>
      </w:tr>
    </w:tbl>
    <w:p w:rsidR="00000000" w:rsidRPr="00131E2B" w:rsidP="00131E2B">
      <w:pPr>
        <w:pStyle w:val="BodyText"/>
      </w:pPr>
    </w:p>
    <w:p w:rsidR="00000000" w:rsidRPr="00131E2B" w:rsidP="00131E2B">
      <w:pPr>
        <w:pStyle w:val="AllowPageBreak"/>
      </w:pPr>
    </w:p>
    <w:p w:rsidR="00000000" w:rsidRPr="00131E2B" w:rsidP="00131E2B">
      <w:pPr>
        <w:pStyle w:val="Heading1"/>
      </w:pPr>
      <w:bookmarkStart w:id="11" w:name="O_888588"/>
      <w:bookmarkEnd w:id="11"/>
      <w:r w:rsidRPr="00131E2B">
        <w:t>Performance Evidence</w:t>
      </w:r>
    </w:p>
    <w:p w:rsidR="00000000" w:rsidRPr="00131E2B" w:rsidP="00A10B1E">
      <w:pPr>
        <w:pStyle w:val="BodyText"/>
      </w:pPr>
      <w:r w:rsidRPr="00131E2B">
        <w:t xml:space="preserve">The candidate must be assessed on their ability to integrate and apply the performance requirements of this unit in a workplace setting. </w:t>
      </w:r>
    </w:p>
    <w:p w:rsidR="00000000" w:rsidRPr="00131E2B" w:rsidP="00A10B1E">
      <w:pPr>
        <w:pStyle w:val="BodyText"/>
      </w:pPr>
      <w:r w:rsidRPr="00131E2B">
        <w:t>The candidate must provide evidence that they can:</w:t>
      </w:r>
    </w:p>
    <w:p w:rsidR="00000000" w:rsidRPr="00131E2B" w:rsidP="00131E2B">
      <w:pPr>
        <w:pStyle w:val="ListBullet"/>
      </w:pPr>
      <w:r w:rsidRPr="00131E2B">
        <w:t>develop maintenance programs</w:t>
      </w:r>
    </w:p>
    <w:p w:rsidR="00000000" w:rsidRPr="00131E2B" w:rsidP="00131E2B">
      <w:pPr>
        <w:pStyle w:val="ListBullet"/>
      </w:pPr>
      <w:r w:rsidRPr="00131E2B">
        <w:t>evaluate sites or locations to deter</w:t>
      </w:r>
      <w:r w:rsidRPr="00131E2B">
        <w:t>mine the effect of aesthetic, environmental and physical attributes on nature of display</w:t>
      </w:r>
    </w:p>
    <w:p w:rsidR="00000000" w:rsidRPr="00131E2B" w:rsidP="00131E2B">
      <w:pPr>
        <w:pStyle w:val="ListBullet"/>
      </w:pPr>
      <w:r w:rsidRPr="00131E2B">
        <w:t>research and analyse information about plant and materials specifications, cultural requirements and environmental requirements</w:t>
      </w:r>
    </w:p>
    <w:p w:rsidR="00000000" w:rsidRPr="00131E2B" w:rsidP="00131E2B">
      <w:pPr>
        <w:pStyle w:val="ListBullet"/>
      </w:pPr>
      <w:r w:rsidRPr="00131E2B">
        <w:t>consult with clients</w:t>
      </w:r>
    </w:p>
    <w:p w:rsidR="00000000" w:rsidRPr="00131E2B" w:rsidP="00131E2B">
      <w:pPr>
        <w:pStyle w:val="AllowPageBreak"/>
      </w:pPr>
    </w:p>
    <w:p w:rsidR="00000000" w:rsidRPr="00131E2B" w:rsidP="00131E2B">
      <w:pPr>
        <w:pStyle w:val="Heading1"/>
      </w:pPr>
      <w:bookmarkStart w:id="12" w:name="O_888589"/>
      <w:bookmarkEnd w:id="12"/>
      <w:r w:rsidRPr="00131E2B">
        <w:t>K</w:t>
      </w:r>
      <w:r w:rsidRPr="00131E2B">
        <w:t>nowledge Evidence</w:t>
      </w:r>
    </w:p>
    <w:p w:rsidR="00000000" w:rsidRPr="00131E2B" w:rsidP="00A10B1E">
      <w:pPr>
        <w:pStyle w:val="BodyText"/>
      </w:pPr>
      <w:r w:rsidRPr="00131E2B">
        <w:t>The candidate must demonstrate knowledge of:</w:t>
      </w:r>
    </w:p>
    <w:p w:rsidR="00000000" w:rsidRPr="00131E2B" w:rsidP="00131E2B">
      <w:pPr>
        <w:pStyle w:val="ListBullet"/>
      </w:pPr>
      <w:r w:rsidRPr="00131E2B">
        <w:t>principles and practices of plant display design</w:t>
      </w:r>
    </w:p>
    <w:p w:rsidR="00000000" w:rsidRPr="00131E2B" w:rsidP="00131E2B">
      <w:pPr>
        <w:pStyle w:val="ListBullet"/>
      </w:pPr>
      <w:r w:rsidRPr="00131E2B">
        <w:t>characteristics of a range of plants used in plant displays</w:t>
      </w:r>
    </w:p>
    <w:p w:rsidR="00000000" w:rsidRPr="00131E2B" w:rsidP="00131E2B">
      <w:pPr>
        <w:pStyle w:val="ListBullet"/>
      </w:pPr>
      <w:r w:rsidRPr="00131E2B">
        <w:t>growth and maintenance requirements of plants in natural and artificial environment</w:t>
      </w:r>
      <w:r w:rsidRPr="00131E2B">
        <w:t>s</w:t>
      </w:r>
    </w:p>
    <w:p w:rsidR="00000000" w:rsidRPr="00131E2B" w:rsidP="00131E2B">
      <w:pPr>
        <w:pStyle w:val="ListBullet"/>
      </w:pPr>
      <w:r w:rsidRPr="00131E2B">
        <w:t>horticultural conventions for design plans</w:t>
      </w:r>
    </w:p>
    <w:p w:rsidR="00000000" w:rsidRPr="00131E2B" w:rsidP="00131E2B">
      <w:pPr>
        <w:pStyle w:val="ListBullet"/>
      </w:pPr>
      <w:r w:rsidRPr="00131E2B">
        <w:t>plant selection</w:t>
      </w:r>
    </w:p>
    <w:p w:rsidR="00000000" w:rsidRPr="00131E2B" w:rsidP="00131E2B">
      <w:pPr>
        <w:pStyle w:val="ListBullet"/>
      </w:pPr>
      <w:r w:rsidRPr="00131E2B">
        <w:t>principles of design</w:t>
      </w:r>
    </w:p>
    <w:p w:rsidR="00000000" w:rsidRPr="00131E2B" w:rsidP="00131E2B">
      <w:pPr>
        <w:pStyle w:val="ListBullet"/>
      </w:pPr>
      <w:r w:rsidRPr="00131E2B">
        <w:t>processes and techniques for preparing, costing and documenting plans for plant displays</w:t>
      </w:r>
    </w:p>
    <w:p w:rsidR="00000000" w:rsidRPr="00131E2B" w:rsidP="00131E2B">
      <w:pPr>
        <w:pStyle w:val="ListBullet"/>
      </w:pPr>
      <w:r w:rsidRPr="00131E2B">
        <w:t>plants commonly used in plant displays</w:t>
      </w:r>
    </w:p>
    <w:p w:rsidR="00000000" w:rsidRPr="00131E2B" w:rsidP="00131E2B">
      <w:pPr>
        <w:pStyle w:val="AllowPageBreak"/>
      </w:pPr>
    </w:p>
    <w:p w:rsidR="00000000" w:rsidRPr="00131E2B" w:rsidP="00131E2B">
      <w:pPr>
        <w:pStyle w:val="Heading1"/>
      </w:pPr>
      <w:bookmarkStart w:id="13" w:name="O_888590"/>
      <w:bookmarkEnd w:id="13"/>
      <w:r w:rsidRPr="00131E2B">
        <w:t>Assessment Conditions</w:t>
      </w:r>
    </w:p>
    <w:p w:rsidR="00000000" w:rsidRPr="00131E2B" w:rsidP="00A10B1E">
      <w:pPr>
        <w:pStyle w:val="BodyText"/>
      </w:pPr>
      <w:r w:rsidRPr="00131E2B">
        <w:t>Assessors must satisfy current standards for RTOs.</w:t>
      </w:r>
    </w:p>
    <w:p w:rsidR="00000000" w:rsidRPr="00131E2B" w:rsidP="00131E2B">
      <w:pPr>
        <w:pStyle w:val="Heading1"/>
      </w:pPr>
      <w:bookmarkStart w:id="14" w:name="O_888593"/>
      <w:bookmarkEnd w:id="14"/>
      <w:r w:rsidRPr="00131E2B">
        <w:t>Links</w:t>
      </w:r>
    </w:p>
    <w:p w:rsidR="00000000" w:rsidRPr="00131E2B" w:rsidP="00A10B1E">
      <w:pPr>
        <w:pStyle w:val="BodyText"/>
      </w:pPr>
      <w:r w:rsidRPr="00131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3E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1E2B" w:rsidP="00131E2B"/>
    <w:sectPr w:rsidSect="00131E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B" w:rsidRPr="00A10B1E" w:rsidP="00A10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1E" w:rsidP="00131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B1E" w:rsidP="00131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0B1E" w:rsidP="00131E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B" w:rsidP="00131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B1E">
      <w:t>Approved</w:t>
    </w:r>
    <w:r w:rsidR="00A10B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B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B1E">
      <w:rPr>
        <w:noProof/>
      </w:rPr>
      <w:t>4</w:t>
    </w:r>
    <w:r>
      <w:rPr>
        <w:noProof/>
      </w:rPr>
      <w:fldChar w:fldCharType="end"/>
    </w:r>
  </w:p>
  <w:p w:rsidR="00131E2B" w:rsidP="00131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B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B1E">
      <w:t>Skills Insight</w:t>
    </w:r>
    <w:r w:rsidR="00A10B1E">
      <w:fldChar w:fldCharType="end"/>
    </w:r>
  </w:p>
  <w:p w:rsidR="00131E2B" w:rsidP="00131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E2B" w:rsidRPr="00A10B1E" w:rsidP="00A10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1E" w:rsidRPr="002D2AF8" w:rsidP="00131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AHCPGD401 Design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0B1E" w:rsidP="00131E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2B" w:rsidRPr="002D2AF8" w:rsidP="00131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B1E">
      <w:t>AHCPGD401 Design plant displays</w:t>
    </w:r>
    <w:r w:rsidR="00A10B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B1E">
      <w:rPr>
        <w:noProof/>
      </w:rPr>
      <w:t>1 March 2025</w:t>
    </w:r>
    <w:r>
      <w:fldChar w:fldCharType="end"/>
    </w:r>
  </w:p>
  <w:p w:rsidR="00131E2B" w:rsidP="00131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601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922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E2B"/>
  </w:style>
  <w:style w:type="character" w:customStyle="1" w:styleId="Heading1Char">
    <w:name w:val="Heading 1 Char"/>
    <w:basedOn w:val="DefaultParagraphFont"/>
    <w:link w:val="Heading1"/>
    <w:rsid w:val="00131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E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1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E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1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1E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1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E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1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E2B"/>
    <w:rPr>
      <w:b/>
      <w:spacing w:val="0"/>
    </w:rPr>
  </w:style>
  <w:style w:type="paragraph" w:customStyle="1" w:styleId="SuperTitle">
    <w:name w:val="SuperTitle"/>
    <w:basedOn w:val="Title"/>
    <w:rsid w:val="00131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E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E2B"/>
    <w:rPr>
      <w:i/>
    </w:rPr>
  </w:style>
  <w:style w:type="paragraph" w:styleId="Caption">
    <w:name w:val="caption"/>
    <w:basedOn w:val="BodyText"/>
    <w:next w:val="Normal"/>
    <w:qFormat/>
    <w:rsid w:val="00131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E2B"/>
  </w:style>
  <w:style w:type="paragraph" w:styleId="TableofFigures">
    <w:name w:val="table of figures"/>
    <w:basedOn w:val="Normal"/>
    <w:next w:val="Normal"/>
    <w:semiHidden/>
    <w:rsid w:val="00131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E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E2B"/>
    <w:rPr>
      <w:rFonts w:ascii="Wingdings" w:hAnsi="Wingdings"/>
    </w:rPr>
  </w:style>
  <w:style w:type="character" w:customStyle="1" w:styleId="HotSpot">
    <w:name w:val="HotSpot"/>
    <w:rsid w:val="00131E2B"/>
    <w:rPr>
      <w:color w:val="0033CC"/>
      <w:u w:val="none"/>
    </w:rPr>
  </w:style>
  <w:style w:type="paragraph" w:customStyle="1" w:styleId="BodyTextRight">
    <w:name w:val="Body Text Right"/>
    <w:basedOn w:val="BodyText"/>
    <w:rsid w:val="00131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E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E2B"/>
    <w:rPr>
      <w:sz w:val="32"/>
    </w:rPr>
  </w:style>
  <w:style w:type="paragraph" w:customStyle="1" w:styleId="HeadingProcedure">
    <w:name w:val="Heading Procedure"/>
    <w:basedOn w:val="HeadingBase"/>
    <w:next w:val="Normal"/>
    <w:rsid w:val="00131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E2B"/>
    <w:pPr>
      <w:spacing w:before="60" w:after="60"/>
    </w:pPr>
  </w:style>
  <w:style w:type="paragraph" w:styleId="ListContinue">
    <w:name w:val="List Continue"/>
    <w:basedOn w:val="List"/>
    <w:rsid w:val="00131E2B"/>
    <w:pPr>
      <w:ind w:firstLine="0"/>
    </w:pPr>
  </w:style>
  <w:style w:type="paragraph" w:customStyle="1" w:styleId="ListNote">
    <w:name w:val="List Note"/>
    <w:basedOn w:val="List"/>
    <w:rsid w:val="00131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E2B"/>
    <w:rPr>
      <w:rFonts w:ascii="Courier New" w:hAnsi="Courier New"/>
    </w:rPr>
  </w:style>
  <w:style w:type="paragraph" w:customStyle="1" w:styleId="NoteBullet">
    <w:name w:val="Note Bullet"/>
    <w:basedOn w:val="Note"/>
    <w:rsid w:val="00131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E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E2B"/>
    <w:rPr>
      <w:b/>
      <w:smallCaps/>
    </w:rPr>
  </w:style>
  <w:style w:type="paragraph" w:customStyle="1" w:styleId="TableListNumber">
    <w:name w:val="Table List Number"/>
    <w:basedOn w:val="ListNumber"/>
    <w:rsid w:val="00131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E2B"/>
    <w:pPr>
      <w:numPr>
        <w:numId w:val="8"/>
      </w:numPr>
    </w:pPr>
  </w:style>
  <w:style w:type="paragraph" w:customStyle="1" w:styleId="ListAlpha2">
    <w:name w:val="List Alpha 2"/>
    <w:basedOn w:val="List2"/>
    <w:rsid w:val="00131E2B"/>
    <w:pPr>
      <w:numPr>
        <w:numId w:val="7"/>
      </w:numPr>
    </w:pPr>
  </w:style>
  <w:style w:type="paragraph" w:styleId="List2">
    <w:name w:val="List 2"/>
    <w:basedOn w:val="BodyText"/>
    <w:rsid w:val="00131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E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E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E2B"/>
    <w:pPr>
      <w:numPr>
        <w:numId w:val="3"/>
      </w:numPr>
    </w:pPr>
  </w:style>
  <w:style w:type="paragraph" w:styleId="ListContinue2">
    <w:name w:val="List Continue 2"/>
    <w:basedOn w:val="List2"/>
    <w:rsid w:val="00131E2B"/>
    <w:pPr>
      <w:ind w:firstLine="0"/>
    </w:pPr>
  </w:style>
  <w:style w:type="paragraph" w:styleId="ListContinue3">
    <w:name w:val="List Continue 3"/>
    <w:basedOn w:val="List3"/>
    <w:rsid w:val="00131E2B"/>
    <w:pPr>
      <w:ind w:left="1021" w:firstLine="0"/>
    </w:pPr>
  </w:style>
  <w:style w:type="paragraph" w:styleId="ListContinue4">
    <w:name w:val="List Continue 4"/>
    <w:basedOn w:val="List4"/>
    <w:rsid w:val="00131E2B"/>
    <w:pPr>
      <w:ind w:firstLine="0"/>
    </w:pPr>
  </w:style>
  <w:style w:type="paragraph" w:styleId="ListContinue5">
    <w:name w:val="List Continue 5"/>
    <w:basedOn w:val="List5"/>
    <w:rsid w:val="00131E2B"/>
    <w:pPr>
      <w:ind w:firstLine="0"/>
    </w:pPr>
  </w:style>
  <w:style w:type="paragraph" w:styleId="ListNumber3">
    <w:name w:val="List Number 3"/>
    <w:basedOn w:val="List3"/>
    <w:rsid w:val="00131E2B"/>
    <w:pPr>
      <w:numPr>
        <w:numId w:val="4"/>
      </w:numPr>
    </w:pPr>
  </w:style>
  <w:style w:type="paragraph" w:styleId="ListNumber4">
    <w:name w:val="List Number 4"/>
    <w:basedOn w:val="List4"/>
    <w:rsid w:val="00131E2B"/>
    <w:pPr>
      <w:numPr>
        <w:numId w:val="5"/>
      </w:numPr>
    </w:pPr>
  </w:style>
  <w:style w:type="paragraph" w:styleId="ListNumber5">
    <w:name w:val="List Number 5"/>
    <w:basedOn w:val="List5"/>
    <w:rsid w:val="00131E2B"/>
    <w:pPr>
      <w:numPr>
        <w:numId w:val="6"/>
      </w:numPr>
    </w:pPr>
  </w:style>
  <w:style w:type="paragraph" w:styleId="BlockText">
    <w:name w:val="Block Text"/>
    <w:basedOn w:val="Normal"/>
    <w:rsid w:val="00131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E2B"/>
    <w:rPr>
      <w:sz w:val="16"/>
      <w:vertAlign w:val="superscript"/>
    </w:rPr>
  </w:style>
  <w:style w:type="character" w:customStyle="1" w:styleId="Symbols">
    <w:name w:val="Symbols"/>
    <w:basedOn w:val="DefaultParagraphFont"/>
    <w:rsid w:val="00131E2B"/>
    <w:rPr>
      <w:rFonts w:ascii="Symbol" w:hAnsi="Symbol"/>
    </w:rPr>
  </w:style>
  <w:style w:type="character" w:customStyle="1" w:styleId="MenuOptions">
    <w:name w:val="Menu Options"/>
    <w:basedOn w:val="DefaultParagraphFont"/>
    <w:rsid w:val="00131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E2B"/>
    <w:rPr>
      <w:b/>
    </w:rPr>
  </w:style>
  <w:style w:type="character" w:customStyle="1" w:styleId="Underlined">
    <w:name w:val="Underlined"/>
    <w:basedOn w:val="DefaultParagraphFont"/>
    <w:rsid w:val="00131E2B"/>
    <w:rPr>
      <w:u w:val="single"/>
    </w:rPr>
  </w:style>
  <w:style w:type="paragraph" w:customStyle="1" w:styleId="TableBodyTextRight">
    <w:name w:val="Table Body Text Right"/>
    <w:basedOn w:val="TableBodyText"/>
    <w:rsid w:val="00131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E2B"/>
    <w:rPr>
      <w:sz w:val="18"/>
    </w:rPr>
  </w:style>
  <w:style w:type="paragraph" w:customStyle="1" w:styleId="BodySmallRight">
    <w:name w:val="Body Small Right"/>
    <w:basedOn w:val="BodyTextRight"/>
    <w:rsid w:val="00131E2B"/>
    <w:rPr>
      <w:sz w:val="18"/>
      <w:szCs w:val="18"/>
    </w:rPr>
  </w:style>
  <w:style w:type="paragraph" w:customStyle="1" w:styleId="MarginEdition">
    <w:name w:val="Margin Edition"/>
    <w:basedOn w:val="MarginNote"/>
    <w:rsid w:val="00131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E2B"/>
    <w:rPr>
      <w:sz w:val="2"/>
      <w:szCs w:val="2"/>
    </w:rPr>
  </w:style>
  <w:style w:type="character" w:customStyle="1" w:styleId="Small">
    <w:name w:val="Small"/>
    <w:basedOn w:val="DefaultParagraphFont"/>
    <w:rsid w:val="00131E2B"/>
    <w:rPr>
      <w:sz w:val="16"/>
    </w:rPr>
  </w:style>
  <w:style w:type="paragraph" w:customStyle="1" w:styleId="WideTable">
    <w:name w:val="Wide Table"/>
    <w:basedOn w:val="Normal"/>
    <w:rsid w:val="00131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E2B"/>
  </w:style>
  <w:style w:type="paragraph" w:styleId="Quote">
    <w:name w:val="Quote"/>
    <w:basedOn w:val="Heading1"/>
    <w:link w:val="QuoteChar"/>
    <w:qFormat/>
    <w:rsid w:val="00131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E2B"/>
    <w:pPr>
      <w:pageBreakBefore/>
    </w:pPr>
  </w:style>
  <w:style w:type="paragraph" w:customStyle="1" w:styleId="Border">
    <w:name w:val="Border"/>
    <w:basedOn w:val="Normal"/>
    <w:qFormat/>
    <w:rsid w:val="00131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E2B"/>
    <w:rPr>
      <w:u w:val="single"/>
    </w:rPr>
  </w:style>
  <w:style w:type="character" w:customStyle="1" w:styleId="BoldandItalics">
    <w:name w:val="Bold and Italics"/>
    <w:qFormat/>
    <w:rsid w:val="00131E2B"/>
    <w:rPr>
      <w:b/>
      <w:i/>
      <w:u w:val="none"/>
    </w:rPr>
  </w:style>
  <w:style w:type="paragraph" w:styleId="BalloonText">
    <w:name w:val="Balloon Text"/>
    <w:basedOn w:val="Normal"/>
    <w:link w:val="BalloonTextChar"/>
    <w:rsid w:val="00131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E2B"/>
    <w:pPr>
      <w:spacing w:before="0" w:after="0"/>
    </w:pPr>
  </w:style>
  <w:style w:type="paragraph" w:customStyle="1" w:styleId="BodyTextBold">
    <w:name w:val="Body Text Bold"/>
    <w:basedOn w:val="BodyText"/>
    <w:qFormat/>
    <w:rsid w:val="00131E2B"/>
    <w:rPr>
      <w:b/>
    </w:rPr>
  </w:style>
  <w:style w:type="character" w:styleId="Hyperlink">
    <w:name w:val="Hyperlink"/>
    <w:basedOn w:val="DefaultParagraphFont"/>
    <w:uiPriority w:val="99"/>
    <w:unhideWhenUsed/>
    <w:rsid w:val="00A10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3481</Characters>
  <Application>Microsoft Office Word</Application>
  <DocSecurity>0</DocSecurity>
  <Lines>120</Lines>
  <Paragraphs>85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AHCPGD401 Design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