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50B" w:rsidP="00F81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AHCPER510 Prepare a sustainable community and bioregional development strategy</w:t>
      </w:r>
      <w:r>
        <w:fldChar w:fldCharType="end"/>
      </w:r>
    </w:p>
    <w:p w:rsidR="00F8150B" w:rsidP="00F8150B">
      <w:pPr>
        <w:pStyle w:val="Version"/>
        <w:sectPr w:rsidSect="004B1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FDC" w:rsidP="004B1FDC">
      <w:pPr>
        <w:pStyle w:val="SuperHeading"/>
      </w:pPr>
      <w:r w:rsidRPr="004B1FDC">
        <w:t>Assessment Requirements for AHCPER510 Prepare a sustainable community and bioregional development strategy</w:t>
      </w:r>
    </w:p>
    <w:p w:rsidR="00000000" w:rsidRPr="004B1FDC" w:rsidP="004B1FDC">
      <w:pPr>
        <w:pStyle w:val="Heading1"/>
      </w:pPr>
      <w:bookmarkStart w:id="1" w:name="O_886478"/>
      <w:bookmarkEnd w:id="1"/>
      <w:r w:rsidRPr="004B1F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1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FDC">
            <w:pPr>
              <w:pStyle w:val="TableHeading"/>
              <w:rPr>
                <w:lang w:val="en-NZ"/>
              </w:rPr>
            </w:pPr>
            <w:r w:rsidRPr="004B1FD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FDC">
            <w:pPr>
              <w:pStyle w:val="TableHeading"/>
              <w:rPr>
                <w:lang w:val="en-NZ"/>
              </w:rPr>
            </w:pPr>
            <w:r w:rsidRPr="004B1FD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FDC">
            <w:pPr>
              <w:pStyle w:val="TableHeading"/>
              <w:rPr>
                <w:lang w:val="en-NZ"/>
              </w:rPr>
            </w:pPr>
            <w:r w:rsidRPr="004B1FDC">
              <w:t>Comment</w:t>
            </w:r>
          </w:p>
        </w:tc>
      </w:tr>
      <w:tr w:rsidTr="004B1F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FDC">
            <w:pPr>
              <w:pStyle w:val="BodyText"/>
              <w:rPr>
                <w:lang w:val="en-NZ"/>
              </w:rPr>
            </w:pPr>
            <w:r w:rsidRPr="004B1FD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FDC">
            <w:pPr>
              <w:pStyle w:val="BodyText"/>
              <w:rPr>
                <w:lang w:val="en-NZ"/>
              </w:rPr>
            </w:pPr>
            <w:r w:rsidRPr="004B1FD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FDC" w:rsidP="004B1FDC">
            <w:pPr>
              <w:pStyle w:val="BodyText"/>
            </w:pPr>
            <w:r w:rsidRPr="004B1FDC">
              <w:t>Initial release</w:t>
            </w:r>
          </w:p>
        </w:tc>
      </w:tr>
    </w:tbl>
    <w:p w:rsidR="00000000" w:rsidRPr="004B1FDC" w:rsidP="004B1FDC">
      <w:pPr>
        <w:pStyle w:val="BodyText"/>
      </w:pPr>
    </w:p>
    <w:p w:rsidR="00000000" w:rsidRPr="004B1FDC" w:rsidP="004B1FDC">
      <w:pPr>
        <w:pStyle w:val="AllowPageBreak"/>
      </w:pPr>
    </w:p>
    <w:p w:rsidR="00000000" w:rsidRPr="004B1FDC" w:rsidP="004B1FDC">
      <w:pPr>
        <w:pStyle w:val="Heading1"/>
      </w:pPr>
      <w:bookmarkStart w:id="2" w:name="O_886479"/>
      <w:bookmarkEnd w:id="2"/>
      <w:r w:rsidRPr="004B1FDC">
        <w:t>Performance Evidence</w:t>
      </w:r>
    </w:p>
    <w:p w:rsidR="00000000" w:rsidRPr="004B1FDC" w:rsidP="00F8150B">
      <w:pPr>
        <w:pStyle w:val="BodyText"/>
      </w:pPr>
      <w:r w:rsidRPr="004B1FD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B1FDC" w:rsidP="00F8150B">
      <w:pPr>
        <w:pStyle w:val="BodyText"/>
      </w:pPr>
      <w:r w:rsidRPr="004B1FDC">
        <w:t>The candidate must provid</w:t>
      </w:r>
      <w:r w:rsidRPr="004B1FDC">
        <w:t>e evidence that they can:</w:t>
      </w:r>
    </w:p>
    <w:p w:rsidR="00000000" w:rsidRPr="004B1FDC" w:rsidP="004B1FDC">
      <w:pPr>
        <w:pStyle w:val="ListBullet"/>
      </w:pPr>
      <w:r w:rsidRPr="004B1FDC">
        <w:t>prepare a brief</w:t>
      </w:r>
    </w:p>
    <w:p w:rsidR="00000000" w:rsidRPr="004B1FDC" w:rsidP="004B1FDC">
      <w:pPr>
        <w:pStyle w:val="ListBullet"/>
      </w:pPr>
      <w:r w:rsidRPr="004B1FDC">
        <w:t>analyse available information</w:t>
      </w:r>
    </w:p>
    <w:p w:rsidR="00000000" w:rsidRPr="004B1FDC" w:rsidP="004B1FDC">
      <w:pPr>
        <w:pStyle w:val="ListBullet"/>
      </w:pPr>
      <w:r w:rsidRPr="004B1FDC">
        <w:t>consult with individuals, groups and the community</w:t>
      </w:r>
    </w:p>
    <w:p w:rsidR="00000000" w:rsidRPr="004B1FDC" w:rsidP="004B1FDC">
      <w:pPr>
        <w:pStyle w:val="ListBullet"/>
      </w:pPr>
      <w:r w:rsidRPr="004B1FDC">
        <w:t>identify required strategies</w:t>
      </w:r>
    </w:p>
    <w:p w:rsidR="00000000" w:rsidRPr="004B1FDC" w:rsidP="004B1FDC">
      <w:pPr>
        <w:pStyle w:val="ListBullet"/>
      </w:pPr>
      <w:r w:rsidRPr="004B1FDC">
        <w:t>design organisational structures</w:t>
      </w:r>
    </w:p>
    <w:p w:rsidR="00000000" w:rsidRPr="004B1FDC" w:rsidP="004B1FDC">
      <w:pPr>
        <w:pStyle w:val="ListBullet"/>
      </w:pPr>
      <w:r w:rsidRPr="004B1FDC">
        <w:t>document a community and bioregional development strategy</w:t>
      </w:r>
    </w:p>
    <w:p w:rsidR="00000000" w:rsidRPr="004B1FDC" w:rsidP="004B1FDC">
      <w:pPr>
        <w:pStyle w:val="AllowPageBreak"/>
      </w:pPr>
    </w:p>
    <w:p w:rsidR="00000000" w:rsidRPr="004B1FDC" w:rsidP="004B1FDC">
      <w:pPr>
        <w:pStyle w:val="Heading1"/>
      </w:pPr>
      <w:bookmarkStart w:id="3" w:name="O_886480"/>
      <w:bookmarkEnd w:id="3"/>
      <w:r w:rsidRPr="004B1FDC">
        <w:t>Knowledge Evidence</w:t>
      </w:r>
    </w:p>
    <w:p w:rsidR="00000000" w:rsidRPr="004B1FDC" w:rsidP="00F8150B">
      <w:pPr>
        <w:pStyle w:val="BodyText"/>
      </w:pPr>
      <w:r w:rsidRPr="004B1FDC">
        <w:t>The candidate must demonstrate knowledge of:</w:t>
      </w:r>
    </w:p>
    <w:p w:rsidR="00000000" w:rsidRPr="004B1FDC" w:rsidP="004B1FDC">
      <w:pPr>
        <w:pStyle w:val="ListBullet"/>
      </w:pPr>
      <w:r w:rsidRPr="004B1FDC">
        <w:t>permaculture principles and practices related to bioregional development</w:t>
      </w:r>
    </w:p>
    <w:p w:rsidR="00000000" w:rsidRPr="004B1FDC" w:rsidP="004B1FDC">
      <w:pPr>
        <w:pStyle w:val="ListBullet"/>
      </w:pPr>
      <w:r w:rsidRPr="004B1FDC">
        <w:t>bioregional analysis and development</w:t>
      </w:r>
    </w:p>
    <w:p w:rsidR="00000000" w:rsidRPr="004B1FDC" w:rsidP="004B1FDC">
      <w:pPr>
        <w:pStyle w:val="ListBullet"/>
      </w:pPr>
      <w:r w:rsidRPr="004B1FDC">
        <w:t>climate change, Peak Oil and resource depletion responses</w:t>
      </w:r>
    </w:p>
    <w:p w:rsidR="00000000" w:rsidRPr="004B1FDC" w:rsidP="004B1FDC">
      <w:pPr>
        <w:pStyle w:val="ListBullet2"/>
      </w:pPr>
      <w:r w:rsidRPr="004B1FDC">
        <w:t>Transition Towns</w:t>
      </w:r>
    </w:p>
    <w:p w:rsidR="00000000" w:rsidRPr="004B1FDC" w:rsidP="004B1FDC">
      <w:pPr>
        <w:pStyle w:val="ListBullet2"/>
      </w:pPr>
      <w:r w:rsidRPr="004B1FDC">
        <w:t>community or bioregional development strategies, such as:</w:t>
      </w:r>
    </w:p>
    <w:p w:rsidR="00000000" w:rsidRPr="004B1FDC" w:rsidP="004B1FDC">
      <w:pPr>
        <w:pStyle w:val="ListBullet2"/>
      </w:pPr>
      <w:r w:rsidRPr="004B1FDC">
        <w:t>Transition Towns group activities or programs</w:t>
      </w:r>
    </w:p>
    <w:p w:rsidR="00000000" w:rsidRPr="004B1FDC" w:rsidP="004B1FDC">
      <w:pPr>
        <w:pStyle w:val="ListBullet2"/>
      </w:pPr>
      <w:r w:rsidRPr="004B1FDC">
        <w:t>ways of reducing the ecological ‘footprint’ of individuals, organisations or the community at large</w:t>
      </w:r>
    </w:p>
    <w:p w:rsidR="00000000" w:rsidRPr="004B1FDC" w:rsidP="004B1FDC">
      <w:pPr>
        <w:pStyle w:val="ListBullet2"/>
      </w:pPr>
      <w:r w:rsidRPr="004B1FDC">
        <w:t>ways of influencing government policy</w:t>
      </w:r>
    </w:p>
    <w:p w:rsidR="00000000" w:rsidRPr="004B1FDC" w:rsidP="004B1FDC">
      <w:pPr>
        <w:pStyle w:val="ListBullet2"/>
      </w:pPr>
      <w:r w:rsidRPr="004B1FDC">
        <w:t>ways of influe</w:t>
      </w:r>
      <w:r w:rsidRPr="004B1FDC">
        <w:t>ncing business practices</w:t>
      </w:r>
    </w:p>
    <w:p w:rsidR="00000000" w:rsidRPr="004B1FDC" w:rsidP="004B1FDC">
      <w:pPr>
        <w:pStyle w:val="ListBullet2"/>
      </w:pPr>
      <w:r w:rsidRPr="004B1FDC">
        <w:t>support for ideas and solutions which enable transition to a low-carbon/low-energy future</w:t>
      </w:r>
    </w:p>
    <w:p w:rsidR="00000000" w:rsidRPr="004B1FDC" w:rsidP="004B1FDC">
      <w:pPr>
        <w:pStyle w:val="ListBullet2"/>
      </w:pPr>
      <w:r w:rsidRPr="004B1FDC">
        <w:t>environmental, water catchment and natural resource conservation projects</w:t>
      </w:r>
    </w:p>
    <w:p w:rsidR="00000000" w:rsidRPr="004B1FDC" w:rsidP="004B1FDC">
      <w:pPr>
        <w:pStyle w:val="ListBullet2"/>
      </w:pPr>
      <w:r w:rsidRPr="004B1FDC">
        <w:t xml:space="preserve">community economics and enterprise </w:t>
      </w:r>
    </w:p>
    <w:p w:rsidR="00000000" w:rsidRPr="004B1FDC" w:rsidP="004B1FDC">
      <w:pPr>
        <w:pStyle w:val="ListBullet2"/>
      </w:pPr>
      <w:r w:rsidRPr="004B1FDC">
        <w:t>social and cultural programs</w:t>
      </w:r>
    </w:p>
    <w:p w:rsidR="00000000" w:rsidRPr="004B1FDC" w:rsidP="004B1FDC">
      <w:pPr>
        <w:pStyle w:val="ListBullet2"/>
      </w:pPr>
      <w:r w:rsidRPr="004B1FDC">
        <w:t>ho</w:t>
      </w:r>
      <w:r w:rsidRPr="004B1FDC">
        <w:t>using and community development programs</w:t>
      </w:r>
    </w:p>
    <w:p w:rsidR="00000000" w:rsidRPr="004B1FDC" w:rsidP="004B1FDC">
      <w:pPr>
        <w:pStyle w:val="ListBullet2"/>
      </w:pPr>
      <w:r w:rsidRPr="004B1FDC">
        <w:t>strategic planning frameworks</w:t>
      </w:r>
    </w:p>
    <w:p w:rsidR="00000000" w:rsidRPr="004B1FDC" w:rsidP="004B1FDC">
      <w:pPr>
        <w:pStyle w:val="ListBullet2"/>
      </w:pPr>
      <w:r w:rsidRPr="004B1FDC">
        <w:t>community supported agriculture, organic and sustainable primary production and consumer networks and programs</w:t>
      </w:r>
    </w:p>
    <w:p w:rsidR="00000000" w:rsidRPr="004B1FDC" w:rsidP="004B1FDC">
      <w:pPr>
        <w:pStyle w:val="ListBullet2"/>
      </w:pPr>
      <w:r w:rsidRPr="004B1FDC">
        <w:t>energy descent plans</w:t>
      </w:r>
    </w:p>
    <w:p w:rsidR="00000000" w:rsidRPr="004B1FDC" w:rsidP="004B1FDC">
      <w:pPr>
        <w:pStyle w:val="ListBullet2"/>
      </w:pPr>
      <w:r w:rsidRPr="004B1FDC">
        <w:t>local food and water security</w:t>
      </w:r>
    </w:p>
    <w:p w:rsidR="00000000" w:rsidRPr="004B1FDC" w:rsidP="004B1FDC">
      <w:pPr>
        <w:pStyle w:val="ListBullet2"/>
      </w:pPr>
      <w:r w:rsidRPr="004B1FDC">
        <w:t>renewable energy and ap</w:t>
      </w:r>
      <w:r w:rsidRPr="004B1FDC">
        <w:t xml:space="preserve">propriate technologies </w:t>
      </w:r>
    </w:p>
    <w:p w:rsidR="00000000" w:rsidRPr="004B1FDC" w:rsidP="004B1FDC">
      <w:pPr>
        <w:pStyle w:val="ListBullet2"/>
      </w:pPr>
      <w:r w:rsidRPr="004B1FDC">
        <w:t>greenhouse emission reduction and sequestration</w:t>
      </w:r>
    </w:p>
    <w:p w:rsidR="00000000" w:rsidRPr="004B1FDC" w:rsidP="004B1FDC">
      <w:pPr>
        <w:pStyle w:val="ListBullet2"/>
      </w:pPr>
      <w:r w:rsidRPr="004B1FDC">
        <w:t>disaster preparedness, response and recovery</w:t>
      </w:r>
    </w:p>
    <w:p w:rsidR="00000000" w:rsidRPr="004B1FDC" w:rsidP="004B1FDC">
      <w:pPr>
        <w:pStyle w:val="ListBullet"/>
      </w:pPr>
      <w:r w:rsidRPr="004B1FDC">
        <w:t>strategic planning framework including:</w:t>
      </w:r>
    </w:p>
    <w:p w:rsidR="00000000" w:rsidRPr="004B1FDC" w:rsidP="004B1FDC">
      <w:pPr>
        <w:pStyle w:val="ListBullet2"/>
      </w:pPr>
      <w:r w:rsidRPr="004B1FDC">
        <w:t>core values</w:t>
      </w:r>
    </w:p>
    <w:p w:rsidR="00000000" w:rsidRPr="004B1FDC" w:rsidP="004B1FDC">
      <w:pPr>
        <w:pStyle w:val="ListBullet2"/>
      </w:pPr>
      <w:r w:rsidRPr="004B1FDC">
        <w:t>vision</w:t>
      </w:r>
    </w:p>
    <w:p w:rsidR="00000000" w:rsidRPr="004B1FDC" w:rsidP="004B1FDC">
      <w:pPr>
        <w:pStyle w:val="ListBullet2"/>
      </w:pPr>
      <w:r w:rsidRPr="004B1FDC">
        <w:t>goals</w:t>
      </w:r>
    </w:p>
    <w:p w:rsidR="00000000" w:rsidRPr="004B1FDC" w:rsidP="004B1FDC">
      <w:pPr>
        <w:pStyle w:val="ListBullet2"/>
      </w:pPr>
      <w:r w:rsidRPr="004B1FDC">
        <w:t>strategies</w:t>
      </w:r>
    </w:p>
    <w:p w:rsidR="00000000" w:rsidRPr="004B1FDC" w:rsidP="004B1FDC">
      <w:pPr>
        <w:pStyle w:val="ListBullet2"/>
      </w:pPr>
      <w:r w:rsidRPr="004B1FDC">
        <w:t>action plans</w:t>
      </w:r>
    </w:p>
    <w:p w:rsidR="00000000" w:rsidRPr="004B1FDC" w:rsidP="004B1FDC">
      <w:pPr>
        <w:pStyle w:val="ListBullet2"/>
      </w:pPr>
      <w:r w:rsidRPr="004B1FDC">
        <w:t>benchmarks</w:t>
      </w:r>
    </w:p>
    <w:p w:rsidR="00000000" w:rsidRPr="004B1FDC" w:rsidP="004B1FDC">
      <w:pPr>
        <w:pStyle w:val="ListBullet2"/>
      </w:pPr>
      <w:r w:rsidRPr="004B1FDC">
        <w:t>timelines</w:t>
      </w:r>
    </w:p>
    <w:p w:rsidR="00000000" w:rsidRPr="004B1FDC" w:rsidP="004B1FDC">
      <w:pPr>
        <w:pStyle w:val="ListBullet"/>
      </w:pPr>
      <w:r w:rsidRPr="004B1FDC">
        <w:t>community profile development</w:t>
      </w:r>
    </w:p>
    <w:p w:rsidR="00000000" w:rsidRPr="004B1FDC" w:rsidP="004B1FDC">
      <w:pPr>
        <w:pStyle w:val="ListBullet"/>
      </w:pPr>
      <w:r w:rsidRPr="004B1FDC">
        <w:t>community consultation and facilitation methodologies, such as:</w:t>
      </w:r>
    </w:p>
    <w:p w:rsidR="00000000" w:rsidRPr="004B1FDC" w:rsidP="004B1FDC">
      <w:pPr>
        <w:pStyle w:val="ListBullet2"/>
      </w:pPr>
      <w:r w:rsidRPr="004B1FDC">
        <w:t>team and community building activities</w:t>
      </w:r>
    </w:p>
    <w:p w:rsidR="00000000" w:rsidRPr="004B1FDC" w:rsidP="004B1FDC">
      <w:pPr>
        <w:pStyle w:val="ListBullet2"/>
      </w:pPr>
      <w:r w:rsidRPr="004B1FDC">
        <w:t>community forums and discussion</w:t>
      </w:r>
    </w:p>
    <w:p w:rsidR="00000000" w:rsidRPr="004B1FDC" w:rsidP="004B1FDC">
      <w:pPr>
        <w:pStyle w:val="ListBullet2"/>
      </w:pPr>
      <w:r w:rsidRPr="004B1FDC">
        <w:t>open space events</w:t>
      </w:r>
    </w:p>
    <w:p w:rsidR="00000000" w:rsidRPr="004B1FDC" w:rsidP="004B1FDC">
      <w:pPr>
        <w:pStyle w:val="ListBullet2"/>
      </w:pPr>
      <w:r w:rsidRPr="004B1FDC">
        <w:t>cultural mapping processes</w:t>
      </w:r>
    </w:p>
    <w:p w:rsidR="00000000" w:rsidRPr="004B1FDC" w:rsidP="004B1FDC">
      <w:pPr>
        <w:pStyle w:val="ListBullet2"/>
      </w:pPr>
      <w:r w:rsidRPr="004B1FDC">
        <w:t>creative problem solving processes</w:t>
      </w:r>
    </w:p>
    <w:p w:rsidR="00000000" w:rsidRPr="004B1FDC" w:rsidP="004B1FDC">
      <w:pPr>
        <w:pStyle w:val="ListBullet2"/>
      </w:pPr>
      <w:r w:rsidRPr="004B1FDC">
        <w:t>visualisat</w:t>
      </w:r>
      <w:r w:rsidRPr="004B1FDC">
        <w:t>ion and experiential processes</w:t>
      </w:r>
    </w:p>
    <w:p w:rsidR="00000000" w:rsidRPr="004B1FDC" w:rsidP="004B1FDC">
      <w:pPr>
        <w:pStyle w:val="ListBullet2"/>
      </w:pPr>
      <w:r w:rsidRPr="004B1FDC">
        <w:t>information gathering processes</w:t>
      </w:r>
    </w:p>
    <w:p w:rsidR="00000000" w:rsidRPr="004B1FDC" w:rsidP="004B1FDC">
      <w:pPr>
        <w:pStyle w:val="ListBullet"/>
      </w:pPr>
      <w:r w:rsidRPr="004B1FDC">
        <w:t>structure, processes and characteristics of community  organisations, such as:</w:t>
      </w:r>
    </w:p>
    <w:p w:rsidR="00000000" w:rsidRPr="004B1FDC" w:rsidP="004B1FDC">
      <w:pPr>
        <w:pStyle w:val="ListBullet2"/>
      </w:pPr>
      <w:r w:rsidRPr="004B1FDC">
        <w:t>non-government organisations</w:t>
      </w:r>
    </w:p>
    <w:p w:rsidR="00000000" w:rsidRPr="004B1FDC" w:rsidP="004B1FDC">
      <w:pPr>
        <w:pStyle w:val="ListBullet2"/>
      </w:pPr>
      <w:r w:rsidRPr="004B1FDC">
        <w:t>government organisations</w:t>
      </w:r>
    </w:p>
    <w:p w:rsidR="00000000" w:rsidRPr="004B1FDC" w:rsidP="004B1FDC">
      <w:pPr>
        <w:pStyle w:val="ListBullet2"/>
      </w:pPr>
      <w:r w:rsidRPr="004B1FDC">
        <w:t>cooperatives</w:t>
      </w:r>
    </w:p>
    <w:p w:rsidR="00000000" w:rsidRPr="004B1FDC" w:rsidP="004B1FDC">
      <w:pPr>
        <w:pStyle w:val="ListBullet2"/>
      </w:pPr>
      <w:r w:rsidRPr="004B1FDC">
        <w:t>incorporated and non-incorporated groups</w:t>
      </w:r>
    </w:p>
    <w:p w:rsidR="00000000" w:rsidRPr="004B1FDC" w:rsidP="004B1FDC">
      <w:pPr>
        <w:pStyle w:val="ListBullet2"/>
      </w:pPr>
      <w:r w:rsidRPr="004B1FDC">
        <w:t>companies both limited and unlimited</w:t>
      </w:r>
    </w:p>
    <w:p w:rsidR="00000000" w:rsidRPr="004B1FDC" w:rsidP="004B1FDC">
      <w:pPr>
        <w:pStyle w:val="ListBullet2"/>
      </w:pPr>
      <w:r w:rsidRPr="004B1FDC">
        <w:t>public companies both listed and unlisted</w:t>
      </w:r>
    </w:p>
    <w:p w:rsidR="00000000" w:rsidRPr="004B1FDC" w:rsidP="004B1FDC">
      <w:pPr>
        <w:pStyle w:val="ListBullet2"/>
      </w:pPr>
      <w:r w:rsidRPr="004B1FDC">
        <w:t>trusts</w:t>
      </w:r>
    </w:p>
    <w:p w:rsidR="00000000" w:rsidRPr="004B1FDC" w:rsidP="004B1FDC">
      <w:pPr>
        <w:pStyle w:val="ListBullet"/>
      </w:pPr>
      <w:r w:rsidRPr="004B1FDC">
        <w:t>funding sources and their policies and strategies for encouraging community input and participation, such as grands, gifts and crowd-sourced funding</w:t>
      </w:r>
    </w:p>
    <w:p w:rsidR="00000000" w:rsidRPr="004B1FDC" w:rsidP="004B1FDC">
      <w:pPr>
        <w:pStyle w:val="ListBullet"/>
      </w:pPr>
      <w:r w:rsidRPr="004B1FDC">
        <w:t>relevant local, stat</w:t>
      </w:r>
      <w:r w:rsidRPr="004B1FDC">
        <w:t>e and federal strategies and legislation</w:t>
      </w:r>
    </w:p>
    <w:p w:rsidR="00000000" w:rsidRPr="004B1FDC" w:rsidP="004B1FDC">
      <w:pPr>
        <w:pStyle w:val="ListBullet"/>
      </w:pPr>
      <w:r w:rsidRPr="004B1FDC">
        <w:t>specific knowledge of particular groups or issues</w:t>
      </w:r>
    </w:p>
    <w:p w:rsidR="00000000" w:rsidRPr="004B1FDC" w:rsidP="004B1FDC">
      <w:pPr>
        <w:pStyle w:val="AllowPageBreak"/>
      </w:pPr>
    </w:p>
    <w:p w:rsidR="00000000" w:rsidRPr="004B1FDC" w:rsidP="004B1FDC">
      <w:pPr>
        <w:pStyle w:val="Heading1"/>
      </w:pPr>
      <w:bookmarkStart w:id="4" w:name="O_886481"/>
      <w:bookmarkEnd w:id="4"/>
      <w:r w:rsidRPr="004B1FDC">
        <w:t>Assessment Conditions</w:t>
      </w:r>
    </w:p>
    <w:p w:rsidR="00000000" w:rsidRPr="004B1FDC" w:rsidP="00F8150B">
      <w:pPr>
        <w:pStyle w:val="BodyText"/>
      </w:pPr>
      <w:r w:rsidRPr="004B1FDC">
        <w:t>Assessors must satisfy current standards for RTOs. Assessors must also have a nationally accredited Diploma of Permaculture. Completion of a Permaculture Design Course (PDC) or non-accredited Permaculture Diploma is not sufficient at this level.</w:t>
      </w:r>
    </w:p>
    <w:p w:rsidR="00000000" w:rsidRPr="004B1FDC" w:rsidP="004B1FDC">
      <w:pPr>
        <w:pStyle w:val="Heading1"/>
      </w:pPr>
      <w:bookmarkStart w:id="5" w:name="O_886497"/>
      <w:bookmarkEnd w:id="5"/>
      <w:r w:rsidRPr="004B1FDC">
        <w:t>Links</w:t>
      </w:r>
    </w:p>
    <w:p w:rsidR="00000000" w:rsidRPr="004B1FDC" w:rsidP="00F8150B">
      <w:pPr>
        <w:pStyle w:val="BodyText"/>
      </w:pPr>
      <w:r w:rsidRPr="004B1F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63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1FDC" w:rsidP="004B1FDC"/>
    <w:sectPr w:rsidSect="004B1F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FDC" w:rsidRPr="00F8150B" w:rsidP="00F81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0B" w:rsidP="004B1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50B" w:rsidP="004B1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150B" w:rsidP="004B1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FDC" w:rsidRPr="00F8150B" w:rsidP="00F81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0B" w:rsidRPr="002D2AF8" w:rsidP="004B1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AHCPER510 Prepare a sustainable community and bioregional development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F8150B" w:rsidP="004B1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7CF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608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9CE1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FDC"/>
  </w:style>
  <w:style w:type="character" w:customStyle="1" w:styleId="Heading1Char">
    <w:name w:val="Heading 1 Char"/>
    <w:basedOn w:val="DefaultParagraphFont"/>
    <w:link w:val="Heading1"/>
    <w:rsid w:val="004B1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F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1F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1F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1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1FD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1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F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1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1FDC"/>
    <w:rPr>
      <w:b/>
      <w:spacing w:val="0"/>
    </w:rPr>
  </w:style>
  <w:style w:type="paragraph" w:customStyle="1" w:styleId="SuperTitle">
    <w:name w:val="SuperTitle"/>
    <w:basedOn w:val="Title"/>
    <w:rsid w:val="004B1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F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FDC"/>
    <w:rPr>
      <w:i/>
    </w:rPr>
  </w:style>
  <w:style w:type="paragraph" w:styleId="Caption">
    <w:name w:val="caption"/>
    <w:basedOn w:val="BodyText"/>
    <w:next w:val="Normal"/>
    <w:qFormat/>
    <w:rsid w:val="004B1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FDC"/>
  </w:style>
  <w:style w:type="paragraph" w:styleId="TableofFigures">
    <w:name w:val="table of figures"/>
    <w:basedOn w:val="Normal"/>
    <w:next w:val="Normal"/>
    <w:semiHidden/>
    <w:rsid w:val="004B1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F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1FDC"/>
    <w:rPr>
      <w:rFonts w:ascii="Wingdings" w:hAnsi="Wingdings"/>
    </w:rPr>
  </w:style>
  <w:style w:type="character" w:customStyle="1" w:styleId="HotSpot">
    <w:name w:val="HotSpot"/>
    <w:rsid w:val="004B1FDC"/>
    <w:rPr>
      <w:color w:val="0033CC"/>
      <w:u w:val="none"/>
    </w:rPr>
  </w:style>
  <w:style w:type="paragraph" w:customStyle="1" w:styleId="BodyTextRight">
    <w:name w:val="Body Text Right"/>
    <w:basedOn w:val="BodyText"/>
    <w:rsid w:val="004B1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F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FDC"/>
    <w:rPr>
      <w:sz w:val="32"/>
    </w:rPr>
  </w:style>
  <w:style w:type="paragraph" w:customStyle="1" w:styleId="HeadingProcedure">
    <w:name w:val="Heading Procedure"/>
    <w:basedOn w:val="HeadingBase"/>
    <w:next w:val="Normal"/>
    <w:rsid w:val="004B1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FDC"/>
    <w:pPr>
      <w:spacing w:before="60" w:after="60"/>
    </w:pPr>
  </w:style>
  <w:style w:type="paragraph" w:styleId="ListContinue">
    <w:name w:val="List Continue"/>
    <w:basedOn w:val="List"/>
    <w:rsid w:val="004B1FDC"/>
    <w:pPr>
      <w:ind w:firstLine="0"/>
    </w:pPr>
  </w:style>
  <w:style w:type="paragraph" w:customStyle="1" w:styleId="ListNote">
    <w:name w:val="List Note"/>
    <w:basedOn w:val="List"/>
    <w:rsid w:val="004B1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FDC"/>
    <w:rPr>
      <w:rFonts w:ascii="Courier New" w:hAnsi="Courier New"/>
    </w:rPr>
  </w:style>
  <w:style w:type="paragraph" w:customStyle="1" w:styleId="NoteBullet">
    <w:name w:val="Note Bullet"/>
    <w:basedOn w:val="Note"/>
    <w:rsid w:val="004B1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F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1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FDC"/>
    <w:rPr>
      <w:b/>
      <w:smallCaps/>
    </w:rPr>
  </w:style>
  <w:style w:type="paragraph" w:customStyle="1" w:styleId="TableListNumber">
    <w:name w:val="Table List Number"/>
    <w:basedOn w:val="ListNumber"/>
    <w:rsid w:val="004B1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FDC"/>
    <w:pPr>
      <w:numPr>
        <w:numId w:val="9"/>
      </w:numPr>
    </w:pPr>
  </w:style>
  <w:style w:type="paragraph" w:customStyle="1" w:styleId="ListAlpha2">
    <w:name w:val="List Alpha 2"/>
    <w:basedOn w:val="List2"/>
    <w:rsid w:val="004B1FDC"/>
    <w:pPr>
      <w:numPr>
        <w:numId w:val="8"/>
      </w:numPr>
    </w:pPr>
  </w:style>
  <w:style w:type="paragraph" w:styleId="List2">
    <w:name w:val="List 2"/>
    <w:basedOn w:val="BodyText"/>
    <w:rsid w:val="004B1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F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F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1FDC"/>
    <w:pPr>
      <w:numPr>
        <w:numId w:val="4"/>
      </w:numPr>
    </w:pPr>
  </w:style>
  <w:style w:type="paragraph" w:styleId="ListContinue2">
    <w:name w:val="List Continue 2"/>
    <w:basedOn w:val="List2"/>
    <w:rsid w:val="004B1FDC"/>
    <w:pPr>
      <w:ind w:firstLine="0"/>
    </w:pPr>
  </w:style>
  <w:style w:type="paragraph" w:styleId="ListContinue3">
    <w:name w:val="List Continue 3"/>
    <w:basedOn w:val="List3"/>
    <w:rsid w:val="004B1FDC"/>
    <w:pPr>
      <w:ind w:left="1021" w:firstLine="0"/>
    </w:pPr>
  </w:style>
  <w:style w:type="paragraph" w:styleId="ListContinue4">
    <w:name w:val="List Continue 4"/>
    <w:basedOn w:val="List4"/>
    <w:rsid w:val="004B1FDC"/>
    <w:pPr>
      <w:ind w:firstLine="0"/>
    </w:pPr>
  </w:style>
  <w:style w:type="paragraph" w:styleId="ListContinue5">
    <w:name w:val="List Continue 5"/>
    <w:basedOn w:val="List5"/>
    <w:rsid w:val="004B1FDC"/>
    <w:pPr>
      <w:ind w:firstLine="0"/>
    </w:pPr>
  </w:style>
  <w:style w:type="paragraph" w:styleId="ListNumber3">
    <w:name w:val="List Number 3"/>
    <w:basedOn w:val="List3"/>
    <w:rsid w:val="004B1FDC"/>
    <w:pPr>
      <w:numPr>
        <w:numId w:val="5"/>
      </w:numPr>
    </w:pPr>
  </w:style>
  <w:style w:type="paragraph" w:styleId="ListNumber4">
    <w:name w:val="List Number 4"/>
    <w:basedOn w:val="List4"/>
    <w:rsid w:val="004B1FDC"/>
    <w:pPr>
      <w:numPr>
        <w:numId w:val="6"/>
      </w:numPr>
    </w:pPr>
  </w:style>
  <w:style w:type="paragraph" w:styleId="ListNumber5">
    <w:name w:val="List Number 5"/>
    <w:basedOn w:val="List5"/>
    <w:rsid w:val="004B1FDC"/>
    <w:pPr>
      <w:numPr>
        <w:numId w:val="7"/>
      </w:numPr>
    </w:pPr>
  </w:style>
  <w:style w:type="paragraph" w:styleId="BlockText">
    <w:name w:val="Block Text"/>
    <w:basedOn w:val="Normal"/>
    <w:rsid w:val="004B1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FDC"/>
    <w:rPr>
      <w:sz w:val="16"/>
      <w:vertAlign w:val="superscript"/>
    </w:rPr>
  </w:style>
  <w:style w:type="character" w:customStyle="1" w:styleId="Symbols">
    <w:name w:val="Symbols"/>
    <w:basedOn w:val="DefaultParagraphFont"/>
    <w:rsid w:val="004B1FDC"/>
    <w:rPr>
      <w:rFonts w:ascii="Symbol" w:hAnsi="Symbol"/>
    </w:rPr>
  </w:style>
  <w:style w:type="character" w:customStyle="1" w:styleId="MenuOptions">
    <w:name w:val="Menu Options"/>
    <w:basedOn w:val="DefaultParagraphFont"/>
    <w:rsid w:val="004B1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FDC"/>
    <w:rPr>
      <w:b/>
    </w:rPr>
  </w:style>
  <w:style w:type="character" w:customStyle="1" w:styleId="Underlined">
    <w:name w:val="Underlined"/>
    <w:basedOn w:val="DefaultParagraphFont"/>
    <w:rsid w:val="004B1FDC"/>
    <w:rPr>
      <w:u w:val="single"/>
    </w:rPr>
  </w:style>
  <w:style w:type="paragraph" w:customStyle="1" w:styleId="TableBodyTextRight">
    <w:name w:val="Table Body Text Right"/>
    <w:basedOn w:val="TableBodyText"/>
    <w:rsid w:val="004B1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FDC"/>
    <w:rPr>
      <w:sz w:val="18"/>
    </w:rPr>
  </w:style>
  <w:style w:type="paragraph" w:customStyle="1" w:styleId="BodySmallRight">
    <w:name w:val="Body Small Right"/>
    <w:basedOn w:val="BodyTextRight"/>
    <w:rsid w:val="004B1FDC"/>
    <w:rPr>
      <w:sz w:val="18"/>
      <w:szCs w:val="18"/>
    </w:rPr>
  </w:style>
  <w:style w:type="paragraph" w:customStyle="1" w:styleId="MarginEdition">
    <w:name w:val="Margin Edition"/>
    <w:basedOn w:val="MarginNote"/>
    <w:rsid w:val="004B1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FDC"/>
    <w:rPr>
      <w:sz w:val="2"/>
      <w:szCs w:val="2"/>
    </w:rPr>
  </w:style>
  <w:style w:type="character" w:customStyle="1" w:styleId="Small">
    <w:name w:val="Small"/>
    <w:basedOn w:val="DefaultParagraphFont"/>
    <w:rsid w:val="004B1FDC"/>
    <w:rPr>
      <w:sz w:val="16"/>
    </w:rPr>
  </w:style>
  <w:style w:type="paragraph" w:customStyle="1" w:styleId="WideTable">
    <w:name w:val="Wide Table"/>
    <w:basedOn w:val="Normal"/>
    <w:rsid w:val="004B1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FDC"/>
  </w:style>
  <w:style w:type="paragraph" w:styleId="Quote">
    <w:name w:val="Quote"/>
    <w:basedOn w:val="Heading1"/>
    <w:link w:val="QuoteChar"/>
    <w:qFormat/>
    <w:rsid w:val="004B1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FDC"/>
    <w:pPr>
      <w:pageBreakBefore/>
    </w:pPr>
  </w:style>
  <w:style w:type="paragraph" w:customStyle="1" w:styleId="Border">
    <w:name w:val="Border"/>
    <w:basedOn w:val="Normal"/>
    <w:qFormat/>
    <w:rsid w:val="004B1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FDC"/>
    <w:rPr>
      <w:u w:val="single"/>
    </w:rPr>
  </w:style>
  <w:style w:type="character" w:customStyle="1" w:styleId="BoldandItalics">
    <w:name w:val="Bold and Italics"/>
    <w:qFormat/>
    <w:rsid w:val="004B1FDC"/>
    <w:rPr>
      <w:b/>
      <w:i/>
      <w:u w:val="none"/>
    </w:rPr>
  </w:style>
  <w:style w:type="paragraph" w:styleId="BalloonText">
    <w:name w:val="Balloon Text"/>
    <w:basedOn w:val="Normal"/>
    <w:link w:val="BalloonTextChar"/>
    <w:rsid w:val="004B1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FDC"/>
    <w:pPr>
      <w:spacing w:before="0" w:after="0"/>
    </w:pPr>
  </w:style>
  <w:style w:type="paragraph" w:customStyle="1" w:styleId="BodyTextBold">
    <w:name w:val="Body Text Bold"/>
    <w:basedOn w:val="BodyText"/>
    <w:qFormat/>
    <w:rsid w:val="004B1FDC"/>
    <w:rPr>
      <w:b/>
    </w:rPr>
  </w:style>
  <w:style w:type="character" w:styleId="Hyperlink">
    <w:name w:val="Hyperlink"/>
    <w:basedOn w:val="DefaultParagraphFont"/>
    <w:uiPriority w:val="99"/>
    <w:unhideWhenUsed/>
    <w:rsid w:val="00F81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3087</Characters>
  <Application>Microsoft Office Word</Application>
  <DocSecurity>0</DocSecurity>
  <Lines>96</Lines>
  <Paragraphs>85</Paragraphs>
  <ScaleCrop>false</ScaleCrop>
  <Company>Author-it Software Corporation Ltd.</Company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AHCPER510 Prepare a sustainable community and bioregional development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2020-12-24T06:23:00Z</dcterms:created>
  <dcterms:modified xsi:type="dcterms:W3CDTF">2020-12-24T06:23:00Z</dcterms:modified>
</cp:coreProperties>
</file>