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67A" w:rsidP="00C71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AHCPER410 Recommend approaches for sustainable community and bioregional development</w:t>
      </w:r>
      <w:r>
        <w:fldChar w:fldCharType="end"/>
      </w:r>
    </w:p>
    <w:p w:rsidR="00C7167A" w:rsidP="00C7167A">
      <w:pPr>
        <w:pStyle w:val="Version"/>
        <w:sectPr w:rsidSect="00607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A3A" w:rsidP="00607A3A">
      <w:pPr>
        <w:pStyle w:val="SuperHeading"/>
      </w:pPr>
      <w:r w:rsidRPr="00607A3A">
        <w:t>Assessment Requirements for AHCPER410 Recommend approaches for sustainable community and bioregional development</w:t>
      </w:r>
    </w:p>
    <w:p w:rsidR="00000000" w:rsidRPr="00607A3A" w:rsidP="00607A3A">
      <w:pPr>
        <w:pStyle w:val="Heading1"/>
      </w:pPr>
      <w:bookmarkStart w:id="1" w:name="O_884786"/>
      <w:bookmarkEnd w:id="1"/>
      <w:r w:rsidRPr="00607A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3A">
            <w:pPr>
              <w:pStyle w:val="TableHeading"/>
              <w:rPr>
                <w:lang w:val="en-NZ"/>
              </w:rPr>
            </w:pPr>
            <w:r w:rsidRPr="00607A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3A">
            <w:pPr>
              <w:pStyle w:val="TableHeading"/>
              <w:rPr>
                <w:lang w:val="en-NZ"/>
              </w:rPr>
            </w:pPr>
            <w:r w:rsidRPr="00607A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3A">
            <w:pPr>
              <w:pStyle w:val="TableHeading"/>
              <w:rPr>
                <w:lang w:val="en-NZ"/>
              </w:rPr>
            </w:pPr>
            <w:r w:rsidRPr="00607A3A">
              <w:t>Comment</w:t>
            </w:r>
          </w:p>
        </w:tc>
      </w:tr>
      <w:tr w:rsidTr="00607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3A">
            <w:pPr>
              <w:pStyle w:val="BodyText"/>
              <w:rPr>
                <w:lang w:val="en-NZ"/>
              </w:rPr>
            </w:pPr>
            <w:r w:rsidRPr="00607A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A3A">
            <w:pPr>
              <w:pStyle w:val="BodyText"/>
              <w:rPr>
                <w:lang w:val="en-NZ"/>
              </w:rPr>
            </w:pPr>
            <w:r w:rsidRPr="00607A3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A3A" w:rsidP="00607A3A">
            <w:pPr>
              <w:pStyle w:val="BodyText"/>
            </w:pPr>
            <w:r w:rsidRPr="00607A3A">
              <w:t>Initial release</w:t>
            </w:r>
          </w:p>
        </w:tc>
      </w:tr>
    </w:tbl>
    <w:p w:rsidR="00000000" w:rsidRPr="00607A3A" w:rsidP="00607A3A">
      <w:pPr>
        <w:pStyle w:val="BodyText"/>
      </w:pPr>
    </w:p>
    <w:p w:rsidR="00000000" w:rsidRPr="00607A3A" w:rsidP="00607A3A">
      <w:pPr>
        <w:pStyle w:val="AllowPageBreak"/>
      </w:pPr>
    </w:p>
    <w:p w:rsidR="00000000" w:rsidRPr="00607A3A" w:rsidP="00607A3A">
      <w:pPr>
        <w:pStyle w:val="Heading1"/>
      </w:pPr>
      <w:bookmarkStart w:id="2" w:name="O_884787"/>
      <w:bookmarkEnd w:id="2"/>
      <w:r w:rsidRPr="00607A3A">
        <w:t>Performance Evidence</w:t>
      </w:r>
    </w:p>
    <w:p w:rsidR="00000000" w:rsidRPr="00607A3A" w:rsidP="00C7167A">
      <w:pPr>
        <w:pStyle w:val="BodyText"/>
      </w:pPr>
      <w:r w:rsidRPr="00607A3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07A3A" w:rsidP="00C7167A">
      <w:pPr>
        <w:pStyle w:val="BodyText"/>
      </w:pPr>
      <w:r w:rsidRPr="00607A3A">
        <w:t>The candidate must provid</w:t>
      </w:r>
      <w:r w:rsidRPr="00607A3A">
        <w:t>e evidence that they can:</w:t>
      </w:r>
    </w:p>
    <w:p w:rsidR="00000000" w:rsidRPr="00607A3A" w:rsidP="00607A3A">
      <w:pPr>
        <w:pStyle w:val="ListBullet"/>
      </w:pPr>
      <w:r w:rsidRPr="00607A3A">
        <w:t>identify and modify procedures and processes</w:t>
      </w:r>
    </w:p>
    <w:p w:rsidR="00000000" w:rsidRPr="00607A3A" w:rsidP="00607A3A">
      <w:pPr>
        <w:pStyle w:val="ListBullet"/>
      </w:pPr>
      <w:r w:rsidRPr="00607A3A">
        <w:t>write materials appropriate to audience</w:t>
      </w:r>
    </w:p>
    <w:p w:rsidR="00000000" w:rsidRPr="00607A3A" w:rsidP="00607A3A">
      <w:pPr>
        <w:pStyle w:val="ListBullet"/>
      </w:pPr>
      <w:r w:rsidRPr="00607A3A">
        <w:t xml:space="preserve">identify cultural protocols </w:t>
      </w:r>
    </w:p>
    <w:p w:rsidR="00000000" w:rsidRPr="00607A3A" w:rsidP="00607A3A">
      <w:pPr>
        <w:pStyle w:val="ListBullet"/>
      </w:pPr>
      <w:r w:rsidRPr="00607A3A">
        <w:t xml:space="preserve">consult with community groups </w:t>
      </w:r>
    </w:p>
    <w:p w:rsidR="00000000" w:rsidRPr="00607A3A" w:rsidP="00607A3A">
      <w:pPr>
        <w:pStyle w:val="AllowPageBreak"/>
      </w:pPr>
    </w:p>
    <w:p w:rsidR="00000000" w:rsidRPr="00607A3A" w:rsidP="00607A3A">
      <w:pPr>
        <w:pStyle w:val="Heading1"/>
      </w:pPr>
      <w:bookmarkStart w:id="3" w:name="O_884788"/>
      <w:bookmarkEnd w:id="3"/>
      <w:r w:rsidRPr="00607A3A">
        <w:t>Knowledge Evidence</w:t>
      </w:r>
    </w:p>
    <w:p w:rsidR="00000000" w:rsidRPr="00607A3A" w:rsidP="00C7167A">
      <w:pPr>
        <w:pStyle w:val="BodyText"/>
      </w:pPr>
      <w:r w:rsidRPr="00607A3A">
        <w:t>The candidate must demonstrate knowledge of:</w:t>
      </w:r>
    </w:p>
    <w:p w:rsidR="00000000" w:rsidRPr="00607A3A" w:rsidP="00607A3A">
      <w:pPr>
        <w:pStyle w:val="ListBullet"/>
      </w:pPr>
      <w:r w:rsidRPr="00607A3A">
        <w:t>su</w:t>
      </w:r>
      <w:r w:rsidRPr="00607A3A">
        <w:t>stainable community and bioregional development, such as:</w:t>
      </w:r>
    </w:p>
    <w:p w:rsidR="00000000" w:rsidRPr="00607A3A" w:rsidP="00607A3A">
      <w:pPr>
        <w:pStyle w:val="ListBullet2"/>
      </w:pPr>
      <w:r w:rsidRPr="00607A3A">
        <w:t>local food security initiatives</w:t>
      </w:r>
    </w:p>
    <w:p w:rsidR="00000000" w:rsidRPr="00607A3A" w:rsidP="00607A3A">
      <w:pPr>
        <w:pStyle w:val="ListBullet2"/>
      </w:pPr>
      <w:r w:rsidRPr="00607A3A">
        <w:t>community gardens and city farms</w:t>
      </w:r>
    </w:p>
    <w:p w:rsidR="00000000" w:rsidRPr="00607A3A" w:rsidP="00607A3A">
      <w:pPr>
        <w:pStyle w:val="ListBullet2"/>
      </w:pPr>
      <w:r w:rsidRPr="00607A3A">
        <w:t>climate action and energy descent initiatives</w:t>
      </w:r>
    </w:p>
    <w:p w:rsidR="00000000" w:rsidRPr="00607A3A" w:rsidP="00607A3A">
      <w:pPr>
        <w:pStyle w:val="ListBullet2"/>
      </w:pPr>
      <w:r w:rsidRPr="00607A3A">
        <w:t>transition towns programs</w:t>
      </w:r>
    </w:p>
    <w:p w:rsidR="00000000" w:rsidRPr="00607A3A" w:rsidP="00607A3A">
      <w:pPr>
        <w:pStyle w:val="ListBullet2"/>
      </w:pPr>
      <w:r w:rsidRPr="00607A3A">
        <w:t>community education and outreach</w:t>
      </w:r>
    </w:p>
    <w:p w:rsidR="00000000" w:rsidRPr="00607A3A" w:rsidP="00607A3A">
      <w:pPr>
        <w:pStyle w:val="ListBullet2"/>
      </w:pPr>
      <w:r w:rsidRPr="00607A3A">
        <w:t>local economy and trade including complementary currencies</w:t>
      </w:r>
    </w:p>
    <w:p w:rsidR="00000000" w:rsidRPr="00607A3A" w:rsidP="00607A3A">
      <w:pPr>
        <w:pStyle w:val="ListBullet2"/>
      </w:pPr>
      <w:r w:rsidRPr="00607A3A">
        <w:t>sustainable enterprise and business development</w:t>
      </w:r>
    </w:p>
    <w:p w:rsidR="00000000" w:rsidRPr="00607A3A" w:rsidP="00607A3A">
      <w:pPr>
        <w:pStyle w:val="ListBullet2"/>
      </w:pPr>
      <w:r w:rsidRPr="00607A3A">
        <w:t>social wellbeing and welfare services</w:t>
      </w:r>
    </w:p>
    <w:p w:rsidR="00000000" w:rsidRPr="00607A3A" w:rsidP="00607A3A">
      <w:pPr>
        <w:pStyle w:val="ListBullet2"/>
      </w:pPr>
      <w:r w:rsidRPr="00607A3A">
        <w:t>renewable energy production</w:t>
      </w:r>
    </w:p>
    <w:p w:rsidR="00000000" w:rsidRPr="00607A3A" w:rsidP="00607A3A">
      <w:pPr>
        <w:pStyle w:val="ListBullet2"/>
      </w:pPr>
      <w:r w:rsidRPr="00607A3A">
        <w:t>landcare and environment programs</w:t>
      </w:r>
    </w:p>
    <w:p w:rsidR="00000000" w:rsidRPr="00607A3A" w:rsidP="00607A3A">
      <w:pPr>
        <w:pStyle w:val="ListBullet2"/>
      </w:pPr>
      <w:r w:rsidRPr="00607A3A">
        <w:t>sustainable agriculture and land use</w:t>
      </w:r>
    </w:p>
    <w:p w:rsidR="00000000" w:rsidRPr="00607A3A" w:rsidP="00607A3A">
      <w:pPr>
        <w:pStyle w:val="ListBullet2"/>
      </w:pPr>
      <w:r w:rsidRPr="00607A3A">
        <w:t xml:space="preserve">sustainable </w:t>
      </w:r>
      <w:r w:rsidRPr="00607A3A">
        <w:t>forestry and reforestation</w:t>
      </w:r>
    </w:p>
    <w:p w:rsidR="00000000" w:rsidRPr="00607A3A" w:rsidP="00607A3A">
      <w:pPr>
        <w:pStyle w:val="ListBullet2"/>
      </w:pPr>
      <w:r w:rsidRPr="00607A3A">
        <w:t>catchment and water resources management</w:t>
      </w:r>
    </w:p>
    <w:p w:rsidR="00000000" w:rsidRPr="00607A3A" w:rsidP="00607A3A">
      <w:pPr>
        <w:pStyle w:val="ListBullet2"/>
      </w:pPr>
      <w:r w:rsidRPr="00607A3A">
        <w:t>sustainable development and housing</w:t>
      </w:r>
    </w:p>
    <w:p w:rsidR="00000000" w:rsidRPr="00607A3A" w:rsidP="00607A3A">
      <w:pPr>
        <w:pStyle w:val="ListBullet2"/>
      </w:pPr>
      <w:r w:rsidRPr="00607A3A">
        <w:t>waste reduction and recycling</w:t>
      </w:r>
    </w:p>
    <w:p w:rsidR="00000000" w:rsidRPr="00607A3A" w:rsidP="00607A3A">
      <w:pPr>
        <w:pStyle w:val="ListBullet"/>
      </w:pPr>
      <w:r w:rsidRPr="00607A3A">
        <w:t>principles governing sustainable community and bioregional development</w:t>
      </w:r>
    </w:p>
    <w:p w:rsidR="00000000" w:rsidRPr="00607A3A" w:rsidP="00607A3A">
      <w:pPr>
        <w:pStyle w:val="ListBullet"/>
      </w:pPr>
      <w:r w:rsidRPr="00607A3A">
        <w:t>sources of relevant materials and verbal information</w:t>
      </w:r>
    </w:p>
    <w:p w:rsidR="00000000" w:rsidRPr="00607A3A" w:rsidP="00607A3A">
      <w:pPr>
        <w:pStyle w:val="ListBullet"/>
      </w:pPr>
      <w:r w:rsidRPr="00607A3A">
        <w:t>cultural protocols and perspectives, such as:</w:t>
      </w:r>
    </w:p>
    <w:p w:rsidR="00000000" w:rsidRPr="00607A3A" w:rsidP="00607A3A">
      <w:pPr>
        <w:pStyle w:val="ListBullet2"/>
      </w:pPr>
      <w:r w:rsidRPr="00607A3A">
        <w:t>beliefs, religion &amp; taboos</w:t>
      </w:r>
    </w:p>
    <w:p w:rsidR="00000000" w:rsidRPr="00607A3A" w:rsidP="00607A3A">
      <w:pPr>
        <w:pStyle w:val="ListBullet2"/>
      </w:pPr>
      <w:r w:rsidRPr="00607A3A">
        <w:t>world views (mythological, political, social, biological)</w:t>
      </w:r>
    </w:p>
    <w:p w:rsidR="00000000" w:rsidRPr="00607A3A" w:rsidP="00607A3A">
      <w:pPr>
        <w:pStyle w:val="ListBullet2"/>
      </w:pPr>
      <w:r w:rsidRPr="00607A3A">
        <w:t>acceptable modes of communication/language</w:t>
      </w:r>
    </w:p>
    <w:p w:rsidR="00000000" w:rsidRPr="00607A3A" w:rsidP="00607A3A">
      <w:pPr>
        <w:pStyle w:val="ListBullet2"/>
      </w:pPr>
      <w:r w:rsidRPr="00607A3A">
        <w:t>body language</w:t>
      </w:r>
    </w:p>
    <w:p w:rsidR="00000000" w:rsidRPr="00607A3A" w:rsidP="00607A3A">
      <w:pPr>
        <w:pStyle w:val="ListBullet2"/>
      </w:pPr>
      <w:r w:rsidRPr="00607A3A">
        <w:t>concepts of fa</w:t>
      </w:r>
      <w:r w:rsidRPr="00607A3A">
        <w:t>mily and community</w:t>
      </w:r>
    </w:p>
    <w:p w:rsidR="00000000" w:rsidRPr="00607A3A" w:rsidP="00607A3A">
      <w:pPr>
        <w:pStyle w:val="ListBullet2"/>
      </w:pPr>
      <w:r w:rsidRPr="00607A3A">
        <w:t>community leadership</w:t>
      </w:r>
    </w:p>
    <w:p w:rsidR="00000000" w:rsidRPr="00607A3A" w:rsidP="00607A3A">
      <w:pPr>
        <w:pStyle w:val="ListBullet2"/>
      </w:pPr>
      <w:r w:rsidRPr="00607A3A">
        <w:t>relationships between community members, ages and sexes</w:t>
      </w:r>
    </w:p>
    <w:p w:rsidR="00000000" w:rsidRPr="00607A3A" w:rsidP="00607A3A">
      <w:pPr>
        <w:pStyle w:val="ListBullet2"/>
      </w:pPr>
      <w:r w:rsidRPr="00607A3A">
        <w:t>acceptable modes of dress</w:t>
      </w:r>
    </w:p>
    <w:p w:rsidR="00000000" w:rsidRPr="00607A3A" w:rsidP="00607A3A">
      <w:pPr>
        <w:pStyle w:val="ListBullet"/>
      </w:pPr>
      <w:r w:rsidRPr="00607A3A">
        <w:t>relevant legislation and guidelines</w:t>
      </w:r>
    </w:p>
    <w:p w:rsidR="00000000" w:rsidRPr="00607A3A" w:rsidP="00607A3A">
      <w:pPr>
        <w:pStyle w:val="ListBullet"/>
      </w:pPr>
      <w:r w:rsidRPr="00607A3A">
        <w:t>principles of equal opportunity and affirmative action</w:t>
      </w:r>
    </w:p>
    <w:p w:rsidR="00000000" w:rsidRPr="00607A3A" w:rsidP="00607A3A">
      <w:pPr>
        <w:pStyle w:val="ListBullet"/>
      </w:pPr>
      <w:r w:rsidRPr="00607A3A">
        <w:t>community governance, financial systems, l</w:t>
      </w:r>
      <w:r w:rsidRPr="00607A3A">
        <w:t>egal and health systems</w:t>
      </w:r>
    </w:p>
    <w:p w:rsidR="00000000" w:rsidRPr="00607A3A" w:rsidP="00607A3A">
      <w:pPr>
        <w:pStyle w:val="ListBullet"/>
      </w:pPr>
      <w:r w:rsidRPr="00607A3A">
        <w:t>current relationships between culturally diverse groups in the area</w:t>
      </w:r>
    </w:p>
    <w:p w:rsidR="00000000" w:rsidRPr="00607A3A" w:rsidP="00607A3A">
      <w:pPr>
        <w:pStyle w:val="ListBullet"/>
      </w:pPr>
      <w:r w:rsidRPr="00607A3A">
        <w:t>understanding of the role of various sections of the community in historical and relationship terms</w:t>
      </w:r>
    </w:p>
    <w:p w:rsidR="00000000" w:rsidRPr="00607A3A" w:rsidP="00607A3A">
      <w:pPr>
        <w:pStyle w:val="AllowPageBreak"/>
      </w:pPr>
    </w:p>
    <w:p w:rsidR="00000000" w:rsidRPr="00607A3A" w:rsidP="00607A3A">
      <w:pPr>
        <w:pStyle w:val="Heading1"/>
      </w:pPr>
      <w:bookmarkStart w:id="4" w:name="O_884789"/>
      <w:bookmarkEnd w:id="4"/>
      <w:r w:rsidRPr="00607A3A">
        <w:t>Assessment Conditions</w:t>
      </w:r>
    </w:p>
    <w:p w:rsidR="00000000" w:rsidRPr="00607A3A" w:rsidP="00C7167A">
      <w:pPr>
        <w:pStyle w:val="BodyText"/>
      </w:pPr>
      <w:r w:rsidRPr="00607A3A">
        <w:t>Assessors must satisfy current standards for RTOs. Assessors must also have a nationally accredited Certificate IV or Diploma of Permaculture. Completion of a Permaculture Design Course (PDC) or non-accredited Permaculture Diploma is not sufficient at this</w:t>
      </w:r>
      <w:r w:rsidRPr="00607A3A">
        <w:t xml:space="preserve"> level.</w:t>
      </w:r>
    </w:p>
    <w:p w:rsidR="00000000" w:rsidRPr="00607A3A" w:rsidP="00607A3A">
      <w:pPr>
        <w:pStyle w:val="Heading1"/>
      </w:pPr>
      <w:bookmarkStart w:id="5" w:name="O_884792"/>
      <w:bookmarkEnd w:id="5"/>
      <w:r w:rsidRPr="00607A3A">
        <w:t>Links</w:t>
      </w:r>
    </w:p>
    <w:p w:rsidR="00000000" w:rsidRPr="00607A3A" w:rsidP="00C7167A">
      <w:pPr>
        <w:pStyle w:val="BodyText"/>
      </w:pPr>
      <w:r w:rsidRPr="00607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70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7A3A" w:rsidP="00607A3A"/>
    <w:sectPr w:rsidSect="00607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3A" w:rsidRPr="00C7167A" w:rsidP="00C71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7A" w:rsidP="00607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67A" w:rsidP="00607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167A" w:rsidP="00607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A3A" w:rsidRPr="00C7167A" w:rsidP="00C71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7A" w:rsidRPr="002D2AF8" w:rsidP="00607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AHCPER410 Recommend approaches for sustainable community and bioregional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7167A" w:rsidP="00607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BE6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EAC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061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A3A"/>
  </w:style>
  <w:style w:type="character" w:customStyle="1" w:styleId="Heading1Char">
    <w:name w:val="Heading 1 Char"/>
    <w:basedOn w:val="DefaultParagraphFont"/>
    <w:link w:val="Heading1"/>
    <w:rsid w:val="00607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A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7A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7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7A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7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A3A"/>
    <w:rPr>
      <w:b/>
      <w:spacing w:val="0"/>
    </w:rPr>
  </w:style>
  <w:style w:type="paragraph" w:customStyle="1" w:styleId="SuperTitle">
    <w:name w:val="SuperTitle"/>
    <w:basedOn w:val="Title"/>
    <w:rsid w:val="00607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A3A"/>
    <w:rPr>
      <w:i/>
    </w:rPr>
  </w:style>
  <w:style w:type="paragraph" w:styleId="Caption">
    <w:name w:val="caption"/>
    <w:basedOn w:val="BodyText"/>
    <w:next w:val="Normal"/>
    <w:qFormat/>
    <w:rsid w:val="00607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A3A"/>
  </w:style>
  <w:style w:type="paragraph" w:styleId="TableofFigures">
    <w:name w:val="table of figures"/>
    <w:basedOn w:val="Normal"/>
    <w:next w:val="Normal"/>
    <w:semiHidden/>
    <w:rsid w:val="00607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A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7A3A"/>
    <w:rPr>
      <w:rFonts w:ascii="Wingdings" w:hAnsi="Wingdings"/>
    </w:rPr>
  </w:style>
  <w:style w:type="character" w:customStyle="1" w:styleId="HotSpot">
    <w:name w:val="HotSpot"/>
    <w:rsid w:val="00607A3A"/>
    <w:rPr>
      <w:color w:val="0033CC"/>
      <w:u w:val="none"/>
    </w:rPr>
  </w:style>
  <w:style w:type="paragraph" w:customStyle="1" w:styleId="BodyTextRight">
    <w:name w:val="Body Text Right"/>
    <w:basedOn w:val="BodyText"/>
    <w:rsid w:val="00607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A3A"/>
    <w:rPr>
      <w:sz w:val="32"/>
    </w:rPr>
  </w:style>
  <w:style w:type="paragraph" w:customStyle="1" w:styleId="HeadingProcedure">
    <w:name w:val="Heading Procedure"/>
    <w:basedOn w:val="HeadingBase"/>
    <w:next w:val="Normal"/>
    <w:rsid w:val="00607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A3A"/>
    <w:pPr>
      <w:spacing w:before="60" w:after="60"/>
    </w:pPr>
  </w:style>
  <w:style w:type="paragraph" w:styleId="ListContinue">
    <w:name w:val="List Continue"/>
    <w:basedOn w:val="List"/>
    <w:rsid w:val="00607A3A"/>
    <w:pPr>
      <w:ind w:firstLine="0"/>
    </w:pPr>
  </w:style>
  <w:style w:type="paragraph" w:customStyle="1" w:styleId="ListNote">
    <w:name w:val="List Note"/>
    <w:basedOn w:val="List"/>
    <w:rsid w:val="00607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A3A"/>
    <w:rPr>
      <w:rFonts w:ascii="Courier New" w:hAnsi="Courier New"/>
    </w:rPr>
  </w:style>
  <w:style w:type="paragraph" w:customStyle="1" w:styleId="NoteBullet">
    <w:name w:val="Note Bullet"/>
    <w:basedOn w:val="Note"/>
    <w:rsid w:val="00607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A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A3A"/>
    <w:rPr>
      <w:b/>
      <w:smallCaps/>
    </w:rPr>
  </w:style>
  <w:style w:type="paragraph" w:customStyle="1" w:styleId="TableListNumber">
    <w:name w:val="Table List Number"/>
    <w:basedOn w:val="ListNumber"/>
    <w:rsid w:val="00607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A3A"/>
    <w:pPr>
      <w:numPr>
        <w:numId w:val="9"/>
      </w:numPr>
    </w:pPr>
  </w:style>
  <w:style w:type="paragraph" w:customStyle="1" w:styleId="ListAlpha2">
    <w:name w:val="List Alpha 2"/>
    <w:basedOn w:val="List2"/>
    <w:rsid w:val="00607A3A"/>
    <w:pPr>
      <w:numPr>
        <w:numId w:val="8"/>
      </w:numPr>
    </w:pPr>
  </w:style>
  <w:style w:type="paragraph" w:styleId="List2">
    <w:name w:val="List 2"/>
    <w:basedOn w:val="BodyText"/>
    <w:rsid w:val="00607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A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7A3A"/>
    <w:pPr>
      <w:numPr>
        <w:numId w:val="4"/>
      </w:numPr>
    </w:pPr>
  </w:style>
  <w:style w:type="paragraph" w:styleId="ListContinue2">
    <w:name w:val="List Continue 2"/>
    <w:basedOn w:val="List2"/>
    <w:rsid w:val="00607A3A"/>
    <w:pPr>
      <w:ind w:firstLine="0"/>
    </w:pPr>
  </w:style>
  <w:style w:type="paragraph" w:styleId="ListContinue3">
    <w:name w:val="List Continue 3"/>
    <w:basedOn w:val="List3"/>
    <w:rsid w:val="00607A3A"/>
    <w:pPr>
      <w:ind w:left="1021" w:firstLine="0"/>
    </w:pPr>
  </w:style>
  <w:style w:type="paragraph" w:styleId="ListContinue4">
    <w:name w:val="List Continue 4"/>
    <w:basedOn w:val="List4"/>
    <w:rsid w:val="00607A3A"/>
    <w:pPr>
      <w:ind w:firstLine="0"/>
    </w:pPr>
  </w:style>
  <w:style w:type="paragraph" w:styleId="ListContinue5">
    <w:name w:val="List Continue 5"/>
    <w:basedOn w:val="List5"/>
    <w:rsid w:val="00607A3A"/>
    <w:pPr>
      <w:ind w:firstLine="0"/>
    </w:pPr>
  </w:style>
  <w:style w:type="paragraph" w:styleId="ListNumber3">
    <w:name w:val="List Number 3"/>
    <w:basedOn w:val="List3"/>
    <w:rsid w:val="00607A3A"/>
    <w:pPr>
      <w:numPr>
        <w:numId w:val="5"/>
      </w:numPr>
    </w:pPr>
  </w:style>
  <w:style w:type="paragraph" w:styleId="ListNumber4">
    <w:name w:val="List Number 4"/>
    <w:basedOn w:val="List4"/>
    <w:rsid w:val="00607A3A"/>
    <w:pPr>
      <w:numPr>
        <w:numId w:val="6"/>
      </w:numPr>
    </w:pPr>
  </w:style>
  <w:style w:type="paragraph" w:styleId="ListNumber5">
    <w:name w:val="List Number 5"/>
    <w:basedOn w:val="List5"/>
    <w:rsid w:val="00607A3A"/>
    <w:pPr>
      <w:numPr>
        <w:numId w:val="7"/>
      </w:numPr>
    </w:pPr>
  </w:style>
  <w:style w:type="paragraph" w:styleId="BlockText">
    <w:name w:val="Block Text"/>
    <w:basedOn w:val="Normal"/>
    <w:rsid w:val="00607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A3A"/>
    <w:rPr>
      <w:sz w:val="16"/>
      <w:vertAlign w:val="superscript"/>
    </w:rPr>
  </w:style>
  <w:style w:type="character" w:customStyle="1" w:styleId="Symbols">
    <w:name w:val="Symbols"/>
    <w:basedOn w:val="DefaultParagraphFont"/>
    <w:rsid w:val="00607A3A"/>
    <w:rPr>
      <w:rFonts w:ascii="Symbol" w:hAnsi="Symbol"/>
    </w:rPr>
  </w:style>
  <w:style w:type="character" w:customStyle="1" w:styleId="MenuOptions">
    <w:name w:val="Menu Options"/>
    <w:basedOn w:val="DefaultParagraphFont"/>
    <w:rsid w:val="00607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A3A"/>
    <w:rPr>
      <w:b/>
    </w:rPr>
  </w:style>
  <w:style w:type="character" w:customStyle="1" w:styleId="Underlined">
    <w:name w:val="Underlined"/>
    <w:basedOn w:val="DefaultParagraphFont"/>
    <w:rsid w:val="00607A3A"/>
    <w:rPr>
      <w:u w:val="single"/>
    </w:rPr>
  </w:style>
  <w:style w:type="paragraph" w:customStyle="1" w:styleId="TableBodyTextRight">
    <w:name w:val="Table Body Text Right"/>
    <w:basedOn w:val="TableBodyText"/>
    <w:rsid w:val="00607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A3A"/>
    <w:rPr>
      <w:sz w:val="18"/>
    </w:rPr>
  </w:style>
  <w:style w:type="paragraph" w:customStyle="1" w:styleId="BodySmallRight">
    <w:name w:val="Body Small Right"/>
    <w:basedOn w:val="BodyTextRight"/>
    <w:rsid w:val="00607A3A"/>
    <w:rPr>
      <w:sz w:val="18"/>
      <w:szCs w:val="18"/>
    </w:rPr>
  </w:style>
  <w:style w:type="paragraph" w:customStyle="1" w:styleId="MarginEdition">
    <w:name w:val="Margin Edition"/>
    <w:basedOn w:val="MarginNote"/>
    <w:rsid w:val="00607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A3A"/>
    <w:rPr>
      <w:sz w:val="2"/>
      <w:szCs w:val="2"/>
    </w:rPr>
  </w:style>
  <w:style w:type="character" w:customStyle="1" w:styleId="Small">
    <w:name w:val="Small"/>
    <w:basedOn w:val="DefaultParagraphFont"/>
    <w:rsid w:val="00607A3A"/>
    <w:rPr>
      <w:sz w:val="16"/>
    </w:rPr>
  </w:style>
  <w:style w:type="paragraph" w:customStyle="1" w:styleId="WideTable">
    <w:name w:val="Wide Table"/>
    <w:basedOn w:val="Normal"/>
    <w:rsid w:val="00607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A3A"/>
  </w:style>
  <w:style w:type="paragraph" w:styleId="Quote">
    <w:name w:val="Quote"/>
    <w:basedOn w:val="Heading1"/>
    <w:link w:val="QuoteChar"/>
    <w:qFormat/>
    <w:rsid w:val="00607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A3A"/>
    <w:pPr>
      <w:pageBreakBefore/>
    </w:pPr>
  </w:style>
  <w:style w:type="paragraph" w:customStyle="1" w:styleId="Border">
    <w:name w:val="Border"/>
    <w:basedOn w:val="Normal"/>
    <w:qFormat/>
    <w:rsid w:val="00607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A3A"/>
    <w:rPr>
      <w:u w:val="single"/>
    </w:rPr>
  </w:style>
  <w:style w:type="character" w:customStyle="1" w:styleId="BoldandItalics">
    <w:name w:val="Bold and Italics"/>
    <w:qFormat/>
    <w:rsid w:val="00607A3A"/>
    <w:rPr>
      <w:b/>
      <w:i/>
      <w:u w:val="none"/>
    </w:rPr>
  </w:style>
  <w:style w:type="paragraph" w:styleId="BalloonText">
    <w:name w:val="Balloon Text"/>
    <w:basedOn w:val="Normal"/>
    <w:link w:val="BalloonTextChar"/>
    <w:rsid w:val="00607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A3A"/>
    <w:pPr>
      <w:spacing w:before="0" w:after="0"/>
    </w:pPr>
  </w:style>
  <w:style w:type="paragraph" w:customStyle="1" w:styleId="BodyTextBold">
    <w:name w:val="Body Text Bold"/>
    <w:basedOn w:val="BodyText"/>
    <w:qFormat/>
    <w:rsid w:val="00607A3A"/>
    <w:rPr>
      <w:b/>
    </w:rPr>
  </w:style>
  <w:style w:type="character" w:styleId="Hyperlink">
    <w:name w:val="Hyperlink"/>
    <w:basedOn w:val="DefaultParagraphFont"/>
    <w:uiPriority w:val="99"/>
    <w:unhideWhenUsed/>
    <w:rsid w:val="00C71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2483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AHCPER410 Recommend approaches for sustainable community and bioregional development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2022-07-31T14:26:00Z</dcterms:created>
  <dcterms:modified xsi:type="dcterms:W3CDTF">2022-07-31T14:26:00Z</dcterms:modified>
</cp:coreProperties>
</file>