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BEB" w:rsidP="001F6B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AHCPER202 Harvest, treat and store seed</w:t>
      </w:r>
      <w:r>
        <w:fldChar w:fldCharType="end"/>
      </w:r>
    </w:p>
    <w:p w:rsidR="001F6BEB" w:rsidP="001F6BEB">
      <w:pPr>
        <w:pStyle w:val="Version"/>
        <w:sectPr w:rsidSect="00B34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4CDB" w:rsidP="00B34CDB">
      <w:pPr>
        <w:pStyle w:val="SuperHeading"/>
      </w:pPr>
      <w:r w:rsidRPr="00B34CDB">
        <w:t>Assessment Requirements for AHCPER202 Harvest, treat and store seed</w:t>
      </w:r>
    </w:p>
    <w:p w:rsidR="00000000" w:rsidRPr="00B34CDB" w:rsidP="00B34CDB">
      <w:pPr>
        <w:pStyle w:val="Heading1"/>
      </w:pPr>
      <w:bookmarkStart w:id="1" w:name="O_878392"/>
      <w:bookmarkEnd w:id="1"/>
      <w:r w:rsidRPr="00B34C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CDB">
            <w:pPr>
              <w:pStyle w:val="TableHeading"/>
              <w:rPr>
                <w:lang w:val="en-NZ"/>
              </w:rPr>
            </w:pPr>
            <w:r w:rsidRPr="00B34C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CDB">
            <w:pPr>
              <w:pStyle w:val="TableHeading"/>
              <w:rPr>
                <w:lang w:val="en-NZ"/>
              </w:rPr>
            </w:pPr>
            <w:r w:rsidRPr="00B34C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CDB">
            <w:pPr>
              <w:pStyle w:val="TableHeading"/>
              <w:rPr>
                <w:lang w:val="en-NZ"/>
              </w:rPr>
            </w:pPr>
            <w:r w:rsidRPr="00B34CDB">
              <w:t>Comment</w:t>
            </w:r>
          </w:p>
        </w:tc>
      </w:tr>
      <w:tr w:rsidTr="00B3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CDB">
            <w:pPr>
              <w:pStyle w:val="BodyText"/>
              <w:rPr>
                <w:lang w:val="en-NZ"/>
              </w:rPr>
            </w:pPr>
            <w:r w:rsidRPr="00B34C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CDB">
            <w:pPr>
              <w:pStyle w:val="BodyText"/>
              <w:rPr>
                <w:lang w:val="en-NZ"/>
              </w:rPr>
            </w:pPr>
            <w:r w:rsidRPr="00B34CD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CDB" w:rsidP="00B34CDB">
            <w:pPr>
              <w:pStyle w:val="BodyText"/>
            </w:pPr>
            <w:r w:rsidRPr="00B34CDB">
              <w:t>Initial release</w:t>
            </w:r>
          </w:p>
        </w:tc>
      </w:tr>
    </w:tbl>
    <w:p w:rsidR="00000000" w:rsidRPr="00B34CDB" w:rsidP="00B34CDB">
      <w:pPr>
        <w:pStyle w:val="BodyText"/>
      </w:pPr>
    </w:p>
    <w:p w:rsidR="00000000" w:rsidRPr="00B34CDB" w:rsidP="00B34CDB">
      <w:pPr>
        <w:pStyle w:val="AllowPageBreak"/>
      </w:pPr>
    </w:p>
    <w:p w:rsidR="00000000" w:rsidRPr="00B34CDB" w:rsidP="00B34CDB">
      <w:pPr>
        <w:pStyle w:val="Heading1"/>
      </w:pPr>
      <w:bookmarkStart w:id="2" w:name="O_878393"/>
      <w:bookmarkEnd w:id="2"/>
      <w:r w:rsidRPr="00B34CDB">
        <w:t>Performance Evidence</w:t>
      </w:r>
    </w:p>
    <w:p w:rsidR="00000000" w:rsidRPr="00B34CDB" w:rsidP="001F6BEB">
      <w:pPr>
        <w:pStyle w:val="BodyText"/>
      </w:pPr>
      <w:r w:rsidRPr="00B34CD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34CDB" w:rsidP="001F6BEB">
      <w:pPr>
        <w:pStyle w:val="BodyText"/>
      </w:pPr>
      <w:r w:rsidRPr="00B34CDB">
        <w:t>The candidate must provid</w:t>
      </w:r>
      <w:r w:rsidRPr="00B34CDB">
        <w:t>e evidence that they can:</w:t>
      </w:r>
    </w:p>
    <w:p w:rsidR="00000000" w:rsidRPr="00B34CDB" w:rsidP="00B34CDB">
      <w:pPr>
        <w:pStyle w:val="ListBullet"/>
      </w:pPr>
      <w:r w:rsidRPr="00B34CDB">
        <w:t>prepare to harvest seed</w:t>
      </w:r>
    </w:p>
    <w:p w:rsidR="00000000" w:rsidRPr="00B34CDB" w:rsidP="00B34CDB">
      <w:pPr>
        <w:pStyle w:val="ListBullet"/>
      </w:pPr>
      <w:r w:rsidRPr="00B34CDB">
        <w:t>harvest seed</w:t>
      </w:r>
    </w:p>
    <w:p w:rsidR="00000000" w:rsidRPr="00B34CDB" w:rsidP="00B34CDB">
      <w:pPr>
        <w:pStyle w:val="ListBullet"/>
      </w:pPr>
      <w:r w:rsidRPr="00B34CDB">
        <w:t>treat and store seed</w:t>
      </w:r>
    </w:p>
    <w:p w:rsidR="00000000" w:rsidRPr="00B34CDB" w:rsidP="00B34CDB">
      <w:pPr>
        <w:pStyle w:val="AllowPageBreak"/>
      </w:pPr>
    </w:p>
    <w:p w:rsidR="00000000" w:rsidRPr="00B34CDB" w:rsidP="00B34CDB">
      <w:pPr>
        <w:pStyle w:val="Heading1"/>
      </w:pPr>
      <w:bookmarkStart w:id="3" w:name="O_878394"/>
      <w:bookmarkEnd w:id="3"/>
      <w:r w:rsidRPr="00B34CDB">
        <w:t>Knowledge Evidence</w:t>
      </w:r>
    </w:p>
    <w:p w:rsidR="00000000" w:rsidRPr="00B34CDB" w:rsidP="001F6BEB">
      <w:pPr>
        <w:pStyle w:val="BodyText"/>
      </w:pPr>
      <w:r w:rsidRPr="00B34CDB">
        <w:t>The candidate must demonstrate knowledge of:</w:t>
      </w:r>
    </w:p>
    <w:p w:rsidR="00000000" w:rsidRPr="00B34CDB" w:rsidP="00B34CDB">
      <w:pPr>
        <w:pStyle w:val="ListBullet"/>
      </w:pPr>
      <w:r w:rsidRPr="00B34CDB">
        <w:t>seed harvesting techniques</w:t>
      </w:r>
    </w:p>
    <w:p w:rsidR="00000000" w:rsidRPr="00B34CDB" w:rsidP="00B34CDB">
      <w:pPr>
        <w:pStyle w:val="ListBullet"/>
      </w:pPr>
      <w:r w:rsidRPr="00B34CDB">
        <w:t>characteristics of mature healthy seed</w:t>
      </w:r>
    </w:p>
    <w:p w:rsidR="00000000" w:rsidRPr="00B34CDB" w:rsidP="00B34CDB">
      <w:pPr>
        <w:pStyle w:val="ListBullet"/>
      </w:pPr>
      <w:r w:rsidRPr="00B34CDB">
        <w:t>diseases and pests like</w:t>
      </w:r>
      <w:r w:rsidRPr="00B34CDB">
        <w:t>ly to affect the seed</w:t>
      </w:r>
    </w:p>
    <w:p w:rsidR="00000000" w:rsidRPr="00B34CDB" w:rsidP="00B34CDB">
      <w:pPr>
        <w:pStyle w:val="ListBullet"/>
      </w:pPr>
      <w:r w:rsidRPr="00B34CDB">
        <w:t xml:space="preserve">the following types of seed extraction: </w:t>
      </w:r>
    </w:p>
    <w:p w:rsidR="00000000" w:rsidRPr="00B34CDB" w:rsidP="00B34CDB">
      <w:pPr>
        <w:pStyle w:val="ListBullet2"/>
      </w:pPr>
      <w:r w:rsidRPr="00B34CDB">
        <w:t>hand selection</w:t>
      </w:r>
    </w:p>
    <w:p w:rsidR="00000000" w:rsidRPr="00B34CDB" w:rsidP="00B34CDB">
      <w:pPr>
        <w:pStyle w:val="ListBullet2"/>
      </w:pPr>
      <w:r w:rsidRPr="00B34CDB">
        <w:t>winnowing</w:t>
      </w:r>
    </w:p>
    <w:p w:rsidR="00000000" w:rsidRPr="00B34CDB" w:rsidP="00B34CDB">
      <w:pPr>
        <w:pStyle w:val="ListBullet2"/>
      </w:pPr>
      <w:r w:rsidRPr="00B34CDB">
        <w:t>sieving</w:t>
      </w:r>
    </w:p>
    <w:p w:rsidR="00000000" w:rsidRPr="00B34CDB" w:rsidP="00B34CDB">
      <w:pPr>
        <w:pStyle w:val="ListBullet2"/>
      </w:pPr>
      <w:r w:rsidRPr="00B34CDB">
        <w:t>vibration</w:t>
      </w:r>
    </w:p>
    <w:p w:rsidR="00000000" w:rsidRPr="00B34CDB" w:rsidP="00B34CDB">
      <w:pPr>
        <w:pStyle w:val="ListBullet2"/>
      </w:pPr>
      <w:r w:rsidRPr="00B34CDB">
        <w:t>flotation and fermentation</w:t>
      </w:r>
    </w:p>
    <w:p w:rsidR="00000000" w:rsidRPr="00B34CDB" w:rsidP="00B34CDB">
      <w:pPr>
        <w:pStyle w:val="ListBullet2"/>
      </w:pPr>
      <w:r w:rsidRPr="00B34CDB">
        <w:t>drying</w:t>
      </w:r>
    </w:p>
    <w:p w:rsidR="00000000" w:rsidRPr="00B34CDB" w:rsidP="00B34CDB">
      <w:pPr>
        <w:pStyle w:val="ListBullet2"/>
      </w:pPr>
      <w:r w:rsidRPr="00B34CDB">
        <w:t>heat-assisted dehiscing</w:t>
      </w:r>
    </w:p>
    <w:p w:rsidR="00000000" w:rsidRPr="00B34CDB" w:rsidP="00B34CDB">
      <w:pPr>
        <w:pStyle w:val="ListBullet2"/>
      </w:pPr>
      <w:r w:rsidRPr="00B34CDB">
        <w:t>crumbling of husks</w:t>
      </w:r>
    </w:p>
    <w:p w:rsidR="00000000" w:rsidRPr="00B34CDB" w:rsidP="00B34CDB">
      <w:pPr>
        <w:pStyle w:val="ListBullet"/>
      </w:pPr>
      <w:r w:rsidRPr="00B34CDB">
        <w:t>the following permaculture practices relating to seed harvesting and storage:</w:t>
      </w:r>
    </w:p>
    <w:p w:rsidR="00000000" w:rsidRPr="00B34CDB" w:rsidP="00B34CDB">
      <w:pPr>
        <w:pStyle w:val="ListBullet2"/>
      </w:pPr>
      <w:r w:rsidRPr="00B34CDB">
        <w:t>appropriate containers including re-used jars, boxes and packets</w:t>
      </w:r>
    </w:p>
    <w:p w:rsidR="00000000" w:rsidRPr="00B34CDB" w:rsidP="00B34CDB">
      <w:pPr>
        <w:pStyle w:val="ListBullet2"/>
      </w:pPr>
      <w:r w:rsidRPr="00B34CDB">
        <w:t>cool, dry location</w:t>
      </w:r>
    </w:p>
    <w:p w:rsidR="00000000" w:rsidRPr="00B34CDB" w:rsidP="00B34CDB">
      <w:pPr>
        <w:pStyle w:val="ListBullet2"/>
      </w:pPr>
      <w:r w:rsidRPr="00B34CDB">
        <w:t>freezer or refrigerator</w:t>
      </w:r>
    </w:p>
    <w:p w:rsidR="00000000" w:rsidRPr="00B34CDB" w:rsidP="00B34CDB">
      <w:pPr>
        <w:pStyle w:val="ListBullet2"/>
      </w:pPr>
      <w:r w:rsidRPr="00B34CDB">
        <w:t>pest deterrent mechanisms</w:t>
      </w:r>
    </w:p>
    <w:p w:rsidR="00000000" w:rsidRPr="00B34CDB" w:rsidP="00B34CDB">
      <w:pPr>
        <w:pStyle w:val="ListBullet2"/>
      </w:pPr>
      <w:r w:rsidRPr="00B34CDB">
        <w:t>light exclusion mechanisms</w:t>
      </w:r>
    </w:p>
    <w:p w:rsidR="00000000" w:rsidRPr="00B34CDB" w:rsidP="00B34CDB">
      <w:pPr>
        <w:pStyle w:val="ListBullet2"/>
      </w:pPr>
      <w:r w:rsidRPr="00B34CDB">
        <w:t>non-chemical pro</w:t>
      </w:r>
      <w:r w:rsidRPr="00B34CDB">
        <w:t>tection against pathogens</w:t>
      </w:r>
    </w:p>
    <w:p w:rsidR="00000000" w:rsidRPr="00B34CDB" w:rsidP="00B34CDB">
      <w:pPr>
        <w:pStyle w:val="ListBullet"/>
      </w:pPr>
      <w:r w:rsidRPr="00B34CDB">
        <w:t>the following data included in seed saving:</w:t>
      </w:r>
    </w:p>
    <w:p w:rsidR="00000000" w:rsidRPr="00B34CDB" w:rsidP="00B34CDB">
      <w:pPr>
        <w:pStyle w:val="ListBullet2"/>
      </w:pPr>
      <w:r w:rsidRPr="00B34CDB">
        <w:t>genus, species, family, variety and cultivar information</w:t>
      </w:r>
    </w:p>
    <w:p w:rsidR="00000000" w:rsidRPr="00B34CDB" w:rsidP="00B34CDB">
      <w:pPr>
        <w:pStyle w:val="ListBullet2"/>
      </w:pPr>
      <w:r w:rsidRPr="00B34CDB">
        <w:t xml:space="preserve">provenance – where the seed came from </w:t>
      </w:r>
    </w:p>
    <w:p w:rsidR="00000000" w:rsidRPr="00B34CDB" w:rsidP="00B34CDB">
      <w:pPr>
        <w:pStyle w:val="ListBullet2"/>
      </w:pPr>
      <w:r w:rsidRPr="00B34CDB">
        <w:t>weight or number</w:t>
      </w:r>
    </w:p>
    <w:p w:rsidR="00000000" w:rsidRPr="00B34CDB" w:rsidP="00B34CDB">
      <w:pPr>
        <w:pStyle w:val="ListBullet2"/>
      </w:pPr>
      <w:r w:rsidRPr="00B34CDB">
        <w:t>date collected</w:t>
      </w:r>
    </w:p>
    <w:p w:rsidR="00000000" w:rsidRPr="00B34CDB" w:rsidP="00B34CDB">
      <w:pPr>
        <w:pStyle w:val="ListBullet2"/>
      </w:pPr>
      <w:r w:rsidRPr="00B34CDB">
        <w:t>place collected</w:t>
      </w:r>
    </w:p>
    <w:p w:rsidR="00000000" w:rsidRPr="00B34CDB" w:rsidP="00B34CDB">
      <w:pPr>
        <w:pStyle w:val="ListBullet2"/>
      </w:pPr>
      <w:r w:rsidRPr="00B34CDB">
        <w:t>collector</w:t>
      </w:r>
    </w:p>
    <w:p w:rsidR="00000000" w:rsidRPr="00B34CDB" w:rsidP="00B34CDB">
      <w:pPr>
        <w:pStyle w:val="ListBullet2"/>
      </w:pPr>
      <w:r w:rsidRPr="00B34CDB">
        <w:t>cultural advice or growing conditions</w:t>
      </w:r>
    </w:p>
    <w:p w:rsidR="00000000" w:rsidRPr="00B34CDB" w:rsidP="00B34CDB">
      <w:pPr>
        <w:pStyle w:val="ListBullet2"/>
      </w:pPr>
      <w:r w:rsidRPr="00B34CDB">
        <w:t>seed pre-treatment advice</w:t>
      </w:r>
    </w:p>
    <w:p w:rsidR="00000000" w:rsidRPr="00B34CDB" w:rsidP="00B34CDB">
      <w:pPr>
        <w:pStyle w:val="ListBullet2"/>
      </w:pPr>
      <w:r w:rsidRPr="00B34CDB">
        <w:t>longevity information</w:t>
      </w:r>
    </w:p>
    <w:p w:rsidR="00000000" w:rsidRPr="00B34CDB" w:rsidP="00B34CDB">
      <w:pPr>
        <w:pStyle w:val="ListBullet2"/>
      </w:pPr>
      <w:r w:rsidRPr="00B34CDB">
        <w:t>growing-out trial information</w:t>
      </w:r>
    </w:p>
    <w:p w:rsidR="00000000" w:rsidRPr="00B34CDB" w:rsidP="00B34CDB">
      <w:pPr>
        <w:pStyle w:val="ListBullet2"/>
      </w:pPr>
      <w:r w:rsidRPr="00B34CDB">
        <w:t>storage location information or record locator</w:t>
      </w:r>
    </w:p>
    <w:p w:rsidR="00000000" w:rsidRPr="00B34CDB" w:rsidP="00B34CDB">
      <w:pPr>
        <w:pStyle w:val="AllowPageBreak"/>
      </w:pPr>
    </w:p>
    <w:p w:rsidR="00000000" w:rsidRPr="00B34CDB" w:rsidP="00B34CDB">
      <w:pPr>
        <w:pStyle w:val="Heading1"/>
      </w:pPr>
      <w:bookmarkStart w:id="4" w:name="O_878395"/>
      <w:bookmarkEnd w:id="4"/>
      <w:r w:rsidRPr="00B34CDB">
        <w:t>Assessment Conditions</w:t>
      </w:r>
    </w:p>
    <w:p w:rsidR="00000000" w:rsidRPr="00B34CDB" w:rsidP="001F6BEB">
      <w:pPr>
        <w:pStyle w:val="BodyText"/>
      </w:pPr>
      <w:r w:rsidRPr="00B34CDB">
        <w:t>Assessors must satisfy current standards for RTOs. Ass</w:t>
      </w:r>
      <w:r w:rsidRPr="00B34CDB">
        <w:t>essors must also hold a nationally accredited Certificate III (or higher) in Permaculture to assess this unit of competency and/or have completed a Permaculture Design Course (PDC) and/or have completed the Permaculture Demonstrator Skill Set.</w:t>
      </w:r>
    </w:p>
    <w:p w:rsidR="00000000" w:rsidRPr="00B34CDB" w:rsidP="00B34CDB">
      <w:pPr>
        <w:pStyle w:val="Heading1"/>
      </w:pPr>
      <w:bookmarkStart w:id="5" w:name="O_878398"/>
      <w:bookmarkEnd w:id="5"/>
      <w:r w:rsidRPr="00B34CDB">
        <w:t>Links</w:t>
      </w:r>
    </w:p>
    <w:p w:rsidR="00000000" w:rsidRPr="00B34CDB" w:rsidP="001F6BEB">
      <w:pPr>
        <w:pStyle w:val="BodyText"/>
      </w:pPr>
      <w:r w:rsidRPr="00B34C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658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4CDB" w:rsidP="00B34CDB"/>
    <w:sectPr w:rsidSect="00B34C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CDB" w:rsidRPr="001F6BEB" w:rsidP="001F6B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EB" w:rsidP="00B34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6BEB" w:rsidP="00B34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6BEB" w:rsidP="00B34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CDB" w:rsidRPr="001F6BEB" w:rsidP="001F6B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EB" w:rsidRPr="002D2AF8" w:rsidP="00B34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AHCPER202 Harvest, treat and store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F6BEB" w:rsidP="00B34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CAFB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407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7E7F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CDB"/>
  </w:style>
  <w:style w:type="character" w:customStyle="1" w:styleId="Heading1Char">
    <w:name w:val="Heading 1 Char"/>
    <w:basedOn w:val="DefaultParagraphFont"/>
    <w:link w:val="Heading1"/>
    <w:rsid w:val="00B34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C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C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4C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4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4C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4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C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C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4CDB"/>
    <w:rPr>
      <w:b/>
      <w:spacing w:val="0"/>
    </w:rPr>
  </w:style>
  <w:style w:type="paragraph" w:customStyle="1" w:styleId="SuperTitle">
    <w:name w:val="SuperTitle"/>
    <w:basedOn w:val="Title"/>
    <w:rsid w:val="00B34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4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C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4CDB"/>
    <w:rPr>
      <w:i/>
    </w:rPr>
  </w:style>
  <w:style w:type="paragraph" w:styleId="Caption">
    <w:name w:val="caption"/>
    <w:basedOn w:val="BodyText"/>
    <w:next w:val="Normal"/>
    <w:qFormat/>
    <w:rsid w:val="00B34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CDB"/>
  </w:style>
  <w:style w:type="paragraph" w:styleId="TableofFigures">
    <w:name w:val="table of figures"/>
    <w:basedOn w:val="Normal"/>
    <w:next w:val="Normal"/>
    <w:semiHidden/>
    <w:rsid w:val="00B34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C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4CDB"/>
    <w:rPr>
      <w:rFonts w:ascii="Wingdings" w:hAnsi="Wingdings"/>
    </w:rPr>
  </w:style>
  <w:style w:type="character" w:customStyle="1" w:styleId="HotSpot">
    <w:name w:val="HotSpot"/>
    <w:rsid w:val="00B34CDB"/>
    <w:rPr>
      <w:color w:val="0033CC"/>
      <w:u w:val="none"/>
    </w:rPr>
  </w:style>
  <w:style w:type="paragraph" w:customStyle="1" w:styleId="BodyTextRight">
    <w:name w:val="Body Text Right"/>
    <w:basedOn w:val="BodyText"/>
    <w:rsid w:val="00B34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C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CDB"/>
    <w:rPr>
      <w:sz w:val="32"/>
    </w:rPr>
  </w:style>
  <w:style w:type="paragraph" w:customStyle="1" w:styleId="HeadingProcedure">
    <w:name w:val="Heading Procedure"/>
    <w:basedOn w:val="HeadingBase"/>
    <w:next w:val="Normal"/>
    <w:rsid w:val="00B34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CDB"/>
    <w:pPr>
      <w:spacing w:before="60" w:after="60"/>
    </w:pPr>
  </w:style>
  <w:style w:type="paragraph" w:styleId="ListContinue">
    <w:name w:val="List Continue"/>
    <w:basedOn w:val="List"/>
    <w:rsid w:val="00B34CDB"/>
    <w:pPr>
      <w:ind w:firstLine="0"/>
    </w:pPr>
  </w:style>
  <w:style w:type="paragraph" w:customStyle="1" w:styleId="ListNote">
    <w:name w:val="List Note"/>
    <w:basedOn w:val="List"/>
    <w:rsid w:val="00B34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CDB"/>
    <w:rPr>
      <w:rFonts w:ascii="Courier New" w:hAnsi="Courier New"/>
    </w:rPr>
  </w:style>
  <w:style w:type="paragraph" w:customStyle="1" w:styleId="NoteBullet">
    <w:name w:val="Note Bullet"/>
    <w:basedOn w:val="Note"/>
    <w:rsid w:val="00B34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C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4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CDB"/>
    <w:rPr>
      <w:b/>
      <w:smallCaps/>
    </w:rPr>
  </w:style>
  <w:style w:type="paragraph" w:customStyle="1" w:styleId="TableListNumber">
    <w:name w:val="Table List Number"/>
    <w:basedOn w:val="ListNumber"/>
    <w:rsid w:val="00B34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CDB"/>
    <w:pPr>
      <w:numPr>
        <w:numId w:val="9"/>
      </w:numPr>
    </w:pPr>
  </w:style>
  <w:style w:type="paragraph" w:customStyle="1" w:styleId="ListAlpha2">
    <w:name w:val="List Alpha 2"/>
    <w:basedOn w:val="List2"/>
    <w:rsid w:val="00B34CDB"/>
    <w:pPr>
      <w:numPr>
        <w:numId w:val="8"/>
      </w:numPr>
    </w:pPr>
  </w:style>
  <w:style w:type="paragraph" w:styleId="List2">
    <w:name w:val="List 2"/>
    <w:basedOn w:val="BodyText"/>
    <w:rsid w:val="00B34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C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C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4CDB"/>
    <w:pPr>
      <w:numPr>
        <w:numId w:val="4"/>
      </w:numPr>
    </w:pPr>
  </w:style>
  <w:style w:type="paragraph" w:styleId="ListContinue2">
    <w:name w:val="List Continue 2"/>
    <w:basedOn w:val="List2"/>
    <w:rsid w:val="00B34CDB"/>
    <w:pPr>
      <w:ind w:firstLine="0"/>
    </w:pPr>
  </w:style>
  <w:style w:type="paragraph" w:styleId="ListContinue3">
    <w:name w:val="List Continue 3"/>
    <w:basedOn w:val="List3"/>
    <w:rsid w:val="00B34CDB"/>
    <w:pPr>
      <w:ind w:left="1021" w:firstLine="0"/>
    </w:pPr>
  </w:style>
  <w:style w:type="paragraph" w:styleId="ListContinue4">
    <w:name w:val="List Continue 4"/>
    <w:basedOn w:val="List4"/>
    <w:rsid w:val="00B34CDB"/>
    <w:pPr>
      <w:ind w:firstLine="0"/>
    </w:pPr>
  </w:style>
  <w:style w:type="paragraph" w:styleId="ListContinue5">
    <w:name w:val="List Continue 5"/>
    <w:basedOn w:val="List5"/>
    <w:rsid w:val="00B34CDB"/>
    <w:pPr>
      <w:ind w:firstLine="0"/>
    </w:pPr>
  </w:style>
  <w:style w:type="paragraph" w:styleId="ListNumber3">
    <w:name w:val="List Number 3"/>
    <w:basedOn w:val="List3"/>
    <w:rsid w:val="00B34CDB"/>
    <w:pPr>
      <w:numPr>
        <w:numId w:val="5"/>
      </w:numPr>
    </w:pPr>
  </w:style>
  <w:style w:type="paragraph" w:styleId="ListNumber4">
    <w:name w:val="List Number 4"/>
    <w:basedOn w:val="List4"/>
    <w:rsid w:val="00B34CDB"/>
    <w:pPr>
      <w:numPr>
        <w:numId w:val="6"/>
      </w:numPr>
    </w:pPr>
  </w:style>
  <w:style w:type="paragraph" w:styleId="ListNumber5">
    <w:name w:val="List Number 5"/>
    <w:basedOn w:val="List5"/>
    <w:rsid w:val="00B34CDB"/>
    <w:pPr>
      <w:numPr>
        <w:numId w:val="7"/>
      </w:numPr>
    </w:pPr>
  </w:style>
  <w:style w:type="paragraph" w:styleId="BlockText">
    <w:name w:val="Block Text"/>
    <w:basedOn w:val="Normal"/>
    <w:rsid w:val="00B34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CDB"/>
    <w:rPr>
      <w:sz w:val="16"/>
      <w:vertAlign w:val="superscript"/>
    </w:rPr>
  </w:style>
  <w:style w:type="character" w:customStyle="1" w:styleId="Symbols">
    <w:name w:val="Symbols"/>
    <w:basedOn w:val="DefaultParagraphFont"/>
    <w:rsid w:val="00B34CDB"/>
    <w:rPr>
      <w:rFonts w:ascii="Symbol" w:hAnsi="Symbol"/>
    </w:rPr>
  </w:style>
  <w:style w:type="character" w:customStyle="1" w:styleId="MenuOptions">
    <w:name w:val="Menu Options"/>
    <w:basedOn w:val="DefaultParagraphFont"/>
    <w:rsid w:val="00B34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CDB"/>
    <w:rPr>
      <w:b/>
    </w:rPr>
  </w:style>
  <w:style w:type="character" w:customStyle="1" w:styleId="Underlined">
    <w:name w:val="Underlined"/>
    <w:basedOn w:val="DefaultParagraphFont"/>
    <w:rsid w:val="00B34CDB"/>
    <w:rPr>
      <w:u w:val="single"/>
    </w:rPr>
  </w:style>
  <w:style w:type="paragraph" w:customStyle="1" w:styleId="TableBodyTextRight">
    <w:name w:val="Table Body Text Right"/>
    <w:basedOn w:val="TableBodyText"/>
    <w:rsid w:val="00B34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CDB"/>
    <w:rPr>
      <w:sz w:val="18"/>
    </w:rPr>
  </w:style>
  <w:style w:type="paragraph" w:customStyle="1" w:styleId="BodySmallRight">
    <w:name w:val="Body Small Right"/>
    <w:basedOn w:val="BodyTextRight"/>
    <w:rsid w:val="00B34CDB"/>
    <w:rPr>
      <w:sz w:val="18"/>
      <w:szCs w:val="18"/>
    </w:rPr>
  </w:style>
  <w:style w:type="paragraph" w:customStyle="1" w:styleId="MarginEdition">
    <w:name w:val="Margin Edition"/>
    <w:basedOn w:val="MarginNote"/>
    <w:rsid w:val="00B34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CDB"/>
    <w:rPr>
      <w:sz w:val="2"/>
      <w:szCs w:val="2"/>
    </w:rPr>
  </w:style>
  <w:style w:type="character" w:customStyle="1" w:styleId="Small">
    <w:name w:val="Small"/>
    <w:basedOn w:val="DefaultParagraphFont"/>
    <w:rsid w:val="00B34CDB"/>
    <w:rPr>
      <w:sz w:val="16"/>
    </w:rPr>
  </w:style>
  <w:style w:type="paragraph" w:customStyle="1" w:styleId="WideTable">
    <w:name w:val="Wide Table"/>
    <w:basedOn w:val="Normal"/>
    <w:rsid w:val="00B34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CDB"/>
  </w:style>
  <w:style w:type="paragraph" w:styleId="Quote">
    <w:name w:val="Quote"/>
    <w:basedOn w:val="Heading1"/>
    <w:link w:val="QuoteChar"/>
    <w:qFormat/>
    <w:rsid w:val="00B34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CDB"/>
    <w:pPr>
      <w:pageBreakBefore/>
    </w:pPr>
  </w:style>
  <w:style w:type="paragraph" w:customStyle="1" w:styleId="Border">
    <w:name w:val="Border"/>
    <w:basedOn w:val="Normal"/>
    <w:qFormat/>
    <w:rsid w:val="00B34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CDB"/>
    <w:rPr>
      <w:u w:val="single"/>
    </w:rPr>
  </w:style>
  <w:style w:type="character" w:customStyle="1" w:styleId="BoldandItalics">
    <w:name w:val="Bold and Italics"/>
    <w:qFormat/>
    <w:rsid w:val="00B34CDB"/>
    <w:rPr>
      <w:b/>
      <w:i/>
      <w:u w:val="none"/>
    </w:rPr>
  </w:style>
  <w:style w:type="paragraph" w:styleId="BalloonText">
    <w:name w:val="Balloon Text"/>
    <w:basedOn w:val="Normal"/>
    <w:link w:val="BalloonTextChar"/>
    <w:rsid w:val="00B34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CDB"/>
    <w:pPr>
      <w:spacing w:before="0" w:after="0"/>
    </w:pPr>
  </w:style>
  <w:style w:type="paragraph" w:customStyle="1" w:styleId="BodyTextBold">
    <w:name w:val="Body Text Bold"/>
    <w:basedOn w:val="BodyText"/>
    <w:qFormat/>
    <w:rsid w:val="00B34CDB"/>
    <w:rPr>
      <w:b/>
    </w:rPr>
  </w:style>
  <w:style w:type="character" w:styleId="Hyperlink">
    <w:name w:val="Hyperlink"/>
    <w:basedOn w:val="DefaultParagraphFont"/>
    <w:uiPriority w:val="99"/>
    <w:unhideWhenUsed/>
    <w:rsid w:val="001F6B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1924</Characters>
  <Application>Microsoft Office Word</Application>
  <DocSecurity>0</DocSecurity>
  <Lines>74</Lines>
  <Paragraphs>64</Paragraphs>
  <ScaleCrop>false</ScaleCrop>
  <Company>Author-it Software Corporation Ltd.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AHCPER202 Harvest, treat and store seed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2022-07-31T14:11:00Z</dcterms:created>
  <dcterms:modified xsi:type="dcterms:W3CDTF">2022-07-31T14:11:00Z</dcterms:modified>
</cp:coreProperties>
</file>