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26CA" w:rsidP="00B526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AHCORG409 Manage biodynamic production</w:t>
      </w:r>
      <w:r>
        <w:fldChar w:fldCharType="end"/>
      </w:r>
    </w:p>
    <w:p w:rsidR="00B526CA" w:rsidP="00B526CA">
      <w:pPr>
        <w:pStyle w:val="Version"/>
        <w:sectPr w:rsidSect="008D6E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6E67" w:rsidP="008D6E67">
      <w:pPr>
        <w:pStyle w:val="SuperHeading"/>
      </w:pPr>
      <w:r w:rsidRPr="008D6E67">
        <w:t>Assessment Requirements for AHCORG409 Manage biodynamic production</w:t>
      </w:r>
    </w:p>
    <w:p w:rsidR="00000000" w:rsidRPr="008D6E67" w:rsidP="008D6E67">
      <w:pPr>
        <w:pStyle w:val="Heading1"/>
      </w:pPr>
      <w:bookmarkStart w:id="1" w:name="O_1272933"/>
      <w:bookmarkEnd w:id="1"/>
      <w:r w:rsidRPr="008D6E6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D6E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E67">
            <w:pPr>
              <w:pStyle w:val="BodyTextBold"/>
              <w:rPr>
                <w:lang w:val="en-NZ"/>
              </w:rPr>
            </w:pPr>
            <w:r w:rsidRPr="008D6E6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E67">
            <w:pPr>
              <w:pStyle w:val="BodyTextBold"/>
              <w:rPr>
                <w:lang w:val="en-NZ"/>
              </w:rPr>
            </w:pPr>
            <w:r w:rsidRPr="008D6E67">
              <w:t>Comments</w:t>
            </w:r>
          </w:p>
        </w:tc>
      </w:tr>
      <w:tr w:rsidTr="008D6E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E67">
            <w:pPr>
              <w:pStyle w:val="BodyText"/>
              <w:rPr>
                <w:lang w:val="en-NZ"/>
              </w:rPr>
            </w:pPr>
            <w:r w:rsidRPr="008D6E6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E67" w:rsidP="008D6E67">
            <w:pPr>
              <w:pStyle w:val="BodyText"/>
            </w:pPr>
            <w:r w:rsidRPr="008D6E67">
              <w:t>This version released with AHC Agriculture, Horticulture and Conservation and Land Management Training Package Version 9.0.</w:t>
            </w:r>
          </w:p>
        </w:tc>
      </w:tr>
    </w:tbl>
    <w:p w:rsidR="00000000" w:rsidRPr="008D6E67" w:rsidP="008D6E67">
      <w:pPr>
        <w:pStyle w:val="BodyText"/>
      </w:pPr>
    </w:p>
    <w:p w:rsidR="00000000" w:rsidRPr="008D6E67" w:rsidP="008D6E67">
      <w:pPr>
        <w:pStyle w:val="AllowPageBreak"/>
      </w:pPr>
    </w:p>
    <w:p w:rsidR="00000000" w:rsidRPr="008D6E67" w:rsidP="008D6E67">
      <w:pPr>
        <w:pStyle w:val="Heading1"/>
      </w:pPr>
      <w:bookmarkStart w:id="2" w:name="O_1272934"/>
      <w:bookmarkEnd w:id="2"/>
      <w:r w:rsidRPr="008D6E67">
        <w:t>Performance Evidence</w:t>
      </w:r>
    </w:p>
    <w:p w:rsidR="00000000" w:rsidRPr="008D6E67" w:rsidP="00B526CA">
      <w:pPr>
        <w:pStyle w:val="BodyText"/>
      </w:pPr>
      <w:r w:rsidRPr="008D6E67">
        <w:t>An individual demonstrating competency must satisfy all of the elements and performance cr</w:t>
      </w:r>
      <w:r w:rsidRPr="008D6E67">
        <w:t>iteria in this unit.</w:t>
      </w:r>
    </w:p>
    <w:p w:rsidR="00000000" w:rsidRPr="008D6E67" w:rsidP="00B526CA">
      <w:pPr>
        <w:pStyle w:val="BodyText"/>
      </w:pPr>
      <w:r w:rsidRPr="008D6E67">
        <w:t>There must be evidence that the individual has, on at least one occasion, managed a farm using biodynamic production principles and has:</w:t>
      </w:r>
    </w:p>
    <w:p w:rsidR="00000000" w:rsidRPr="008D6E67" w:rsidP="008D6E67">
      <w:pPr>
        <w:pStyle w:val="ListBullet"/>
      </w:pPr>
      <w:r w:rsidRPr="008D6E67">
        <w:t>developed goals and plans for a biodynamic or organic enterprise that must include personal, ecol</w:t>
      </w:r>
      <w:r w:rsidRPr="008D6E67">
        <w:t>ogical and financial goals</w:t>
      </w:r>
    </w:p>
    <w:p w:rsidR="00000000" w:rsidRPr="008D6E67" w:rsidP="008D6E67">
      <w:pPr>
        <w:pStyle w:val="ListBullet"/>
      </w:pPr>
      <w:r w:rsidRPr="008D6E67">
        <w:t>developed marketing plan that must address quality, integrity and ethical goals</w:t>
      </w:r>
    </w:p>
    <w:p w:rsidR="00000000" w:rsidRPr="008D6E67" w:rsidP="008D6E67">
      <w:pPr>
        <w:pStyle w:val="ListBullet"/>
      </w:pPr>
      <w:r w:rsidRPr="008D6E67">
        <w:t>formulated, prepared, stored and applied biodynamic preparations, which must include:</w:t>
      </w:r>
    </w:p>
    <w:p w:rsidR="00000000" w:rsidRPr="008D6E67" w:rsidP="008D6E67">
      <w:pPr>
        <w:pStyle w:val="ListBullet2"/>
      </w:pPr>
      <w:r w:rsidRPr="008D6E67">
        <w:t>horn manure (500)</w:t>
      </w:r>
    </w:p>
    <w:p w:rsidR="00000000" w:rsidRPr="008D6E67" w:rsidP="008D6E67">
      <w:pPr>
        <w:pStyle w:val="ListBullet2"/>
      </w:pPr>
      <w:r w:rsidRPr="008D6E67">
        <w:t>horn silica (501)</w:t>
      </w:r>
    </w:p>
    <w:p w:rsidR="00000000" w:rsidRPr="008D6E67" w:rsidP="008D6E67">
      <w:pPr>
        <w:pStyle w:val="ListBullet2"/>
      </w:pPr>
      <w:r w:rsidRPr="008D6E67">
        <w:t>horn clay preparations</w:t>
      </w:r>
    </w:p>
    <w:p w:rsidR="00000000" w:rsidRPr="008D6E67" w:rsidP="008D6E67">
      <w:pPr>
        <w:pStyle w:val="ListBullet2"/>
      </w:pPr>
      <w:r w:rsidRPr="008D6E67">
        <w:t>compost</w:t>
      </w:r>
    </w:p>
    <w:p w:rsidR="00000000" w:rsidRPr="008D6E67" w:rsidP="008D6E67">
      <w:pPr>
        <w:pStyle w:val="ListBullet"/>
      </w:pPr>
      <w:r w:rsidRPr="008D6E67">
        <w:t>monitored aeration, moisture and temperature of compost to ensure quality of decomposition</w:t>
      </w:r>
    </w:p>
    <w:p w:rsidR="00000000" w:rsidRPr="008D6E67" w:rsidP="008D6E67">
      <w:pPr>
        <w:pStyle w:val="ListBullet"/>
      </w:pPr>
      <w:r w:rsidRPr="008D6E67">
        <w:t>enhanced soil and plant health, which must include:</w:t>
      </w:r>
    </w:p>
    <w:p w:rsidR="00000000" w:rsidRPr="008D6E67" w:rsidP="008D6E67">
      <w:pPr>
        <w:pStyle w:val="ListBullet2"/>
      </w:pPr>
      <w:r w:rsidRPr="008D6E67">
        <w:t>application of biodynamic preparations</w:t>
      </w:r>
    </w:p>
    <w:p w:rsidR="00000000" w:rsidRPr="008D6E67" w:rsidP="008D6E67">
      <w:pPr>
        <w:pStyle w:val="ListBullet2"/>
      </w:pPr>
      <w:r w:rsidRPr="008D6E67">
        <w:t>sowing and growing cover crops</w:t>
      </w:r>
    </w:p>
    <w:p w:rsidR="00000000" w:rsidRPr="008D6E67" w:rsidP="008D6E67">
      <w:pPr>
        <w:pStyle w:val="ListBullet2"/>
      </w:pPr>
      <w:r w:rsidRPr="008D6E67">
        <w:t>using crop rotation strategies</w:t>
      </w:r>
    </w:p>
    <w:p w:rsidR="00000000" w:rsidRPr="008D6E67" w:rsidP="008D6E67">
      <w:pPr>
        <w:pStyle w:val="ListBullet2"/>
      </w:pPr>
      <w:r w:rsidRPr="008D6E67">
        <w:t>us</w:t>
      </w:r>
      <w:r w:rsidRPr="008D6E67">
        <w:t>ing mulching and composting on soil</w:t>
      </w:r>
    </w:p>
    <w:p w:rsidR="00000000" w:rsidRPr="008D6E67" w:rsidP="008D6E67">
      <w:pPr>
        <w:pStyle w:val="ListBullet2"/>
      </w:pPr>
      <w:r w:rsidRPr="008D6E67">
        <w:t>applying farm-based nutrient products</w:t>
      </w:r>
    </w:p>
    <w:p w:rsidR="00000000" w:rsidRPr="008D6E67" w:rsidP="008D6E67">
      <w:pPr>
        <w:pStyle w:val="ListBullet"/>
      </w:pPr>
      <w:r w:rsidRPr="008D6E67">
        <w:t>identified, assessed and applied biodynamic controls for weeds and pests, which must include:</w:t>
      </w:r>
    </w:p>
    <w:p w:rsidR="00000000" w:rsidRPr="008D6E67" w:rsidP="008D6E67">
      <w:pPr>
        <w:pStyle w:val="ListBullet2"/>
      </w:pPr>
      <w:r w:rsidRPr="008D6E67">
        <w:t>natural predators</w:t>
      </w:r>
    </w:p>
    <w:p w:rsidR="00000000" w:rsidRPr="008D6E67" w:rsidP="008D6E67">
      <w:pPr>
        <w:pStyle w:val="ListBullet2"/>
      </w:pPr>
      <w:r w:rsidRPr="008D6E67">
        <w:t>life cycles of weeds and pests</w:t>
      </w:r>
    </w:p>
    <w:p w:rsidR="00000000" w:rsidRPr="008D6E67" w:rsidP="008D6E67">
      <w:pPr>
        <w:pStyle w:val="ListBullet2"/>
      </w:pPr>
      <w:r w:rsidRPr="008D6E67">
        <w:t>cultural practices</w:t>
      </w:r>
    </w:p>
    <w:p w:rsidR="00000000" w:rsidRPr="008D6E67" w:rsidP="008D6E67">
      <w:pPr>
        <w:pStyle w:val="ListBullet2"/>
      </w:pPr>
      <w:r w:rsidRPr="008D6E67">
        <w:t>soil health</w:t>
      </w:r>
    </w:p>
    <w:p w:rsidR="00000000" w:rsidRPr="008D6E67" w:rsidP="008D6E67">
      <w:pPr>
        <w:pStyle w:val="ListBullet2"/>
      </w:pPr>
      <w:r w:rsidRPr="008D6E67">
        <w:t>plant community</w:t>
      </w:r>
    </w:p>
    <w:p w:rsidR="00000000" w:rsidRPr="008D6E67" w:rsidP="008D6E67">
      <w:pPr>
        <w:pStyle w:val="ListBullet"/>
      </w:pPr>
      <w:r w:rsidRPr="008D6E67">
        <w:t>integrated and managed livestock in a biodynamic enterprise.</w:t>
      </w:r>
    </w:p>
    <w:p w:rsidR="00000000" w:rsidRPr="008D6E67" w:rsidP="008D6E67">
      <w:pPr>
        <w:pStyle w:val="AllowPageBreak"/>
      </w:pPr>
    </w:p>
    <w:p w:rsidR="00000000" w:rsidRPr="008D6E67" w:rsidP="008D6E67">
      <w:pPr>
        <w:pStyle w:val="Heading1"/>
      </w:pPr>
      <w:bookmarkStart w:id="3" w:name="O_1272935"/>
      <w:bookmarkEnd w:id="3"/>
      <w:r w:rsidRPr="008D6E67">
        <w:t>Knowledge Evidence</w:t>
      </w:r>
    </w:p>
    <w:p w:rsidR="00000000" w:rsidRPr="008D6E67" w:rsidP="00B526CA">
      <w:pPr>
        <w:pStyle w:val="BodyText"/>
      </w:pPr>
      <w:r w:rsidRPr="008D6E67">
        <w:t>An individual must be able to demonstrate the knowledge required to perform the tasks outlined in the elements and performance criteria of t</w:t>
      </w:r>
      <w:r w:rsidRPr="008D6E67">
        <w:t>his unit. This includes knowledge of:</w:t>
      </w:r>
    </w:p>
    <w:p w:rsidR="00000000" w:rsidRPr="008D6E67" w:rsidP="008D6E67">
      <w:pPr>
        <w:pStyle w:val="ListBullet"/>
      </w:pPr>
      <w:r w:rsidRPr="008D6E67">
        <w:t>biodynamic production processes and practices, including:</w:t>
      </w:r>
    </w:p>
    <w:p w:rsidR="00000000" w:rsidRPr="008D6E67" w:rsidP="008D6E67">
      <w:pPr>
        <w:pStyle w:val="ListBullet2"/>
      </w:pPr>
      <w:r w:rsidRPr="008D6E67">
        <w:t>animal production and welfare</w:t>
      </w:r>
    </w:p>
    <w:p w:rsidR="00000000" w:rsidRPr="008D6E67" w:rsidP="008D6E67">
      <w:pPr>
        <w:pStyle w:val="ListBullet2"/>
      </w:pPr>
      <w:r w:rsidRPr="008D6E67">
        <w:t>biodynamic preparations and their role in soil food web and atmosphere</w:t>
      </w:r>
    </w:p>
    <w:p w:rsidR="00000000" w:rsidRPr="008D6E67" w:rsidP="008D6E67">
      <w:pPr>
        <w:pStyle w:val="ListBullet2"/>
      </w:pPr>
      <w:r w:rsidRPr="008D6E67">
        <w:t>importance of biodiversity, fauna and native flora on biodynamic farms</w:t>
      </w:r>
    </w:p>
    <w:p w:rsidR="00000000" w:rsidRPr="008D6E67" w:rsidP="008D6E67">
      <w:pPr>
        <w:pStyle w:val="ListBullet2"/>
      </w:pPr>
      <w:r w:rsidRPr="008D6E67">
        <w:t>calcium-clay-silica polarities</w:t>
      </w:r>
    </w:p>
    <w:p w:rsidR="00000000" w:rsidRPr="008D6E67" w:rsidP="008D6E67">
      <w:pPr>
        <w:pStyle w:val="ListBullet2"/>
      </w:pPr>
      <w:r w:rsidRPr="008D6E67">
        <w:t>crop and animal rotation systems and manuring practices</w:t>
      </w:r>
    </w:p>
    <w:p w:rsidR="00000000" w:rsidRPr="008D6E67" w:rsidP="008D6E67">
      <w:pPr>
        <w:pStyle w:val="ListBullet2"/>
      </w:pPr>
      <w:r w:rsidRPr="008D6E67">
        <w:t>cultivation methods</w:t>
      </w:r>
    </w:p>
    <w:p w:rsidR="00000000" w:rsidRPr="008D6E67" w:rsidP="008D6E67">
      <w:pPr>
        <w:pStyle w:val="ListBullet2"/>
      </w:pPr>
      <w:r w:rsidRPr="008D6E67">
        <w:t xml:space="preserve">etheric and astral forces and how they relate to biodynamics </w:t>
      </w:r>
    </w:p>
    <w:p w:rsidR="00000000" w:rsidRPr="008D6E67" w:rsidP="008D6E67">
      <w:pPr>
        <w:pStyle w:val="ListBullet"/>
      </w:pPr>
      <w:r w:rsidRPr="008D6E67">
        <w:t xml:space="preserve">strategies for </w:t>
      </w:r>
      <w:r w:rsidRPr="008D6E67">
        <w:t>planning and promoting an organic and biodynamic enterprise and its products</w:t>
      </w:r>
    </w:p>
    <w:p w:rsidR="00000000" w:rsidRPr="008D6E67" w:rsidP="008D6E67">
      <w:pPr>
        <w:pStyle w:val="ListBullet"/>
      </w:pPr>
      <w:r w:rsidRPr="008D6E67">
        <w:t>setting up trials and testing procedures used to assess biodynamic methods and products</w:t>
      </w:r>
    </w:p>
    <w:p w:rsidR="00000000" w:rsidRPr="008D6E67" w:rsidP="008D6E67">
      <w:pPr>
        <w:pStyle w:val="ListBullet"/>
      </w:pPr>
      <w:r w:rsidRPr="008D6E67">
        <w:t>quality standards applicable to biodynamic produce</w:t>
      </w:r>
    </w:p>
    <w:p w:rsidR="00000000" w:rsidRPr="008D6E67" w:rsidP="008D6E67">
      <w:pPr>
        <w:pStyle w:val="ListBullet"/>
      </w:pPr>
      <w:r w:rsidRPr="008D6E67">
        <w:t>paradigms of various farming systems: bi</w:t>
      </w:r>
      <w:r w:rsidRPr="008D6E67">
        <w:t>odynamics, organics and permaculture, and holistic management</w:t>
      </w:r>
    </w:p>
    <w:p w:rsidR="00000000" w:rsidRPr="008D6E67" w:rsidP="008D6E67">
      <w:pPr>
        <w:pStyle w:val="ListBullet"/>
      </w:pPr>
      <w:r w:rsidRPr="008D6E67">
        <w:t>formulation, use and storage of biodynamic preparations, including the selection and use of materials and equipment</w:t>
      </w:r>
    </w:p>
    <w:p w:rsidR="00000000" w:rsidRPr="008D6E67" w:rsidP="008D6E67">
      <w:pPr>
        <w:pStyle w:val="ListBullet"/>
      </w:pPr>
      <w:r w:rsidRPr="008D6E67">
        <w:t>scheduling and planting calendar for production</w:t>
      </w:r>
    </w:p>
    <w:p w:rsidR="00000000" w:rsidRPr="008D6E67" w:rsidP="008D6E67">
      <w:pPr>
        <w:pStyle w:val="ListBullet"/>
      </w:pPr>
      <w:r w:rsidRPr="008D6E67">
        <w:t>relationship between soil, mic</w:t>
      </w:r>
      <w:r w:rsidRPr="008D6E67">
        <w:t>robes, plant, animal and human health</w:t>
      </w:r>
    </w:p>
    <w:p w:rsidR="00000000" w:rsidRPr="008D6E67" w:rsidP="008D6E67">
      <w:pPr>
        <w:pStyle w:val="ListBullet"/>
      </w:pPr>
      <w:r w:rsidRPr="008D6E67">
        <w:t>research in biodynamics principles and practices</w:t>
      </w:r>
    </w:p>
    <w:p w:rsidR="00000000" w:rsidRPr="008D6E67" w:rsidP="008D6E67">
      <w:pPr>
        <w:pStyle w:val="ListBullet"/>
      </w:pPr>
      <w:r w:rsidRPr="008D6E67">
        <w:t>role of water in biodynamic and organic production and methods of water retention</w:t>
      </w:r>
    </w:p>
    <w:p w:rsidR="00000000" w:rsidRPr="008D6E67" w:rsidP="008D6E67">
      <w:pPr>
        <w:pStyle w:val="ListBullet"/>
      </w:pPr>
      <w:r w:rsidRPr="008D6E67">
        <w:t>pests, diseases and pest plant management in an organic and biodynamic system</w:t>
      </w:r>
    </w:p>
    <w:p w:rsidR="00000000" w:rsidRPr="008D6E67" w:rsidP="008D6E67">
      <w:pPr>
        <w:pStyle w:val="ListBullet"/>
      </w:pPr>
      <w:r w:rsidRPr="008D6E67">
        <w:t>principles, practices and inputs allowable under the National Standard for Organic and Bio-Dynamic Produce.</w:t>
      </w:r>
    </w:p>
    <w:p w:rsidR="00000000" w:rsidRPr="008D6E67" w:rsidP="008D6E67">
      <w:pPr>
        <w:pStyle w:val="AllowPageBreak"/>
      </w:pPr>
    </w:p>
    <w:p w:rsidR="00000000" w:rsidRPr="008D6E67" w:rsidP="008D6E67">
      <w:pPr>
        <w:pStyle w:val="Heading1"/>
      </w:pPr>
      <w:bookmarkStart w:id="4" w:name="O_1272936"/>
      <w:bookmarkEnd w:id="4"/>
      <w:r w:rsidRPr="008D6E67">
        <w:t>Assessment Conditions</w:t>
      </w:r>
    </w:p>
    <w:p w:rsidR="00000000" w:rsidRPr="008D6E67" w:rsidP="00B526CA">
      <w:pPr>
        <w:pStyle w:val="BodyText"/>
      </w:pPr>
      <w:r w:rsidRPr="008D6E67">
        <w:t xml:space="preserve">Assessment of the skills in this unit of competency must take place under the following conditions: </w:t>
      </w:r>
    </w:p>
    <w:p w:rsidR="00000000" w:rsidRPr="008D6E67" w:rsidP="008D6E67">
      <w:pPr>
        <w:pStyle w:val="ListBullet"/>
      </w:pPr>
      <w:r w:rsidRPr="008D6E67">
        <w:t>physi</w:t>
      </w:r>
      <w:r w:rsidRPr="008D6E67">
        <w:t>cal conditions:</w:t>
      </w:r>
    </w:p>
    <w:p w:rsidR="00000000" w:rsidRPr="008D6E67" w:rsidP="008D6E67">
      <w:pPr>
        <w:pStyle w:val="ListBullet2"/>
      </w:pPr>
      <w:r w:rsidRPr="008D6E67">
        <w:t>skills must be demonstrated on a biodynamic farm or an environment that accurately represents workplace conditions</w:t>
      </w:r>
    </w:p>
    <w:p w:rsidR="00000000" w:rsidRPr="008D6E67" w:rsidP="008D6E67">
      <w:pPr>
        <w:pStyle w:val="ListBullet"/>
      </w:pPr>
      <w:r w:rsidRPr="008D6E67">
        <w:t>resources, equipment and materials:</w:t>
      </w:r>
    </w:p>
    <w:p w:rsidR="00000000" w:rsidRPr="008D6E67" w:rsidP="008D6E67">
      <w:pPr>
        <w:pStyle w:val="ListBullet2"/>
      </w:pPr>
      <w:r w:rsidRPr="008D6E67">
        <w:t>tools and equipment used for managing biodynamic production</w:t>
      </w:r>
    </w:p>
    <w:p w:rsidR="00000000" w:rsidRPr="008D6E67" w:rsidP="008D6E67">
      <w:pPr>
        <w:pStyle w:val="ListBullet2"/>
      </w:pPr>
      <w:r w:rsidRPr="008D6E67">
        <w:t>personal protective equipm</w:t>
      </w:r>
      <w:r w:rsidRPr="008D6E67">
        <w:t>ent</w:t>
      </w:r>
    </w:p>
    <w:p w:rsidR="00000000" w:rsidRPr="008D6E67" w:rsidP="008D6E67">
      <w:pPr>
        <w:pStyle w:val="ListBullet"/>
      </w:pPr>
      <w:r w:rsidRPr="008D6E67">
        <w:t>specifications:</w:t>
      </w:r>
    </w:p>
    <w:p w:rsidR="00000000" w:rsidRPr="008D6E67" w:rsidP="008D6E67">
      <w:pPr>
        <w:pStyle w:val="ListBullet2"/>
      </w:pPr>
      <w:r w:rsidRPr="008D6E67">
        <w:t>workplace policies, procedures, processes</w:t>
      </w:r>
    </w:p>
    <w:p w:rsidR="00000000" w:rsidRPr="008D6E67" w:rsidP="008D6E67">
      <w:pPr>
        <w:pStyle w:val="ListBullet2"/>
      </w:pPr>
      <w:r w:rsidRPr="008D6E67">
        <w:t>biodynamic and organic industry standards and codes of practice</w:t>
      </w:r>
    </w:p>
    <w:p w:rsidR="00000000" w:rsidRPr="008D6E67" w:rsidP="008D6E67">
      <w:pPr>
        <w:pStyle w:val="ListBullet"/>
      </w:pPr>
      <w:r w:rsidRPr="008D6E67">
        <w:t xml:space="preserve">timeframes: </w:t>
      </w:r>
    </w:p>
    <w:p w:rsidR="00000000" w:rsidRPr="008D6E67" w:rsidP="008D6E67">
      <w:pPr>
        <w:pStyle w:val="ListBullet2"/>
      </w:pPr>
      <w:r w:rsidRPr="008D6E67">
        <w:t>according to etheric and astral forces.</w:t>
      </w:r>
    </w:p>
    <w:p w:rsidR="00000000" w:rsidRPr="008D6E67" w:rsidP="00B526CA">
      <w:pPr>
        <w:pStyle w:val="BodyText"/>
      </w:pPr>
      <w:r w:rsidRPr="008D6E67">
        <w:t>Assessors of this unit must satisfy the requirements for assessors in applicable vocational education and training legislation, frameworks and/or standards.</w:t>
      </w:r>
    </w:p>
    <w:p w:rsidR="00000000" w:rsidRPr="008D6E67" w:rsidP="008D6E67">
      <w:pPr>
        <w:pStyle w:val="Heading1"/>
      </w:pPr>
      <w:bookmarkStart w:id="5" w:name="O_1272939"/>
      <w:bookmarkEnd w:id="5"/>
      <w:r w:rsidRPr="008D6E67">
        <w:t>Links</w:t>
      </w:r>
    </w:p>
    <w:p w:rsidR="00000000" w:rsidRPr="008D6E67" w:rsidP="00B526CA">
      <w:pPr>
        <w:pStyle w:val="BodyText"/>
      </w:pPr>
      <w:r w:rsidRPr="008D6E67">
        <w:t>Companion Volumes, including Implementation Guides, are available at VETNe</w:t>
      </w:r>
      <w:r w:rsidRPr="008D6E67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C746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D6E67" w:rsidP="008D6E67"/>
    <w:sectPr w:rsidSect="008D6E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E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E67" w:rsidRPr="00B526CA" w:rsidP="00B526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E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6CA" w:rsidP="008D6E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26CA" w:rsidP="008D6E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526CA" w:rsidP="008D6E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E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6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6E67" w:rsidRPr="00B526CA" w:rsidP="00B526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E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6CA" w:rsidRPr="002D2AF8" w:rsidP="008D6E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AHCORG409 Manage biodynamic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526CA" w:rsidP="008D6E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B0F6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BE9A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0222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E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6E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6E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6E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6E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6E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6E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6E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6E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6E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6E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6E67"/>
  </w:style>
  <w:style w:type="character" w:customStyle="1" w:styleId="Heading1Char">
    <w:name w:val="Heading 1 Char"/>
    <w:basedOn w:val="DefaultParagraphFont"/>
    <w:link w:val="Heading1"/>
    <w:rsid w:val="008D6E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6E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6E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6E6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D6E6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D6E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6E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D6E67"/>
    <w:rPr>
      <w:b/>
    </w:rPr>
  </w:style>
  <w:style w:type="character" w:customStyle="1" w:styleId="Heading2Char">
    <w:name w:val="Heading 2 Char"/>
    <w:basedOn w:val="DefaultParagraphFont"/>
    <w:link w:val="Heading2"/>
    <w:rsid w:val="008D6E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6E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6E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6E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6E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6E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6E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6E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6E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6E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6E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6E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6E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6E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6E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6E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6E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6E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6E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6E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6E67"/>
    <w:rPr>
      <w:b/>
      <w:spacing w:val="0"/>
    </w:rPr>
  </w:style>
  <w:style w:type="paragraph" w:customStyle="1" w:styleId="SuperTitle">
    <w:name w:val="SuperTitle"/>
    <w:basedOn w:val="Title"/>
    <w:rsid w:val="008D6E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6E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6E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6E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6E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6E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6E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6E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6E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6E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6E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6E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6E67"/>
    <w:rPr>
      <w:i/>
    </w:rPr>
  </w:style>
  <w:style w:type="paragraph" w:styleId="Caption">
    <w:name w:val="caption"/>
    <w:basedOn w:val="BodyText"/>
    <w:next w:val="Normal"/>
    <w:qFormat/>
    <w:rsid w:val="008D6E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6E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6E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6E67"/>
  </w:style>
  <w:style w:type="paragraph" w:styleId="TableofFigures">
    <w:name w:val="table of figures"/>
    <w:basedOn w:val="Normal"/>
    <w:next w:val="Normal"/>
    <w:semiHidden/>
    <w:rsid w:val="008D6E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6E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6E67"/>
    <w:rPr>
      <w:rFonts w:ascii="Wingdings" w:hAnsi="Wingdings"/>
    </w:rPr>
  </w:style>
  <w:style w:type="paragraph" w:customStyle="1" w:styleId="TableHeading">
    <w:name w:val="Table Heading"/>
    <w:basedOn w:val="HeadingBase"/>
    <w:rsid w:val="008D6E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6E67"/>
    <w:rPr>
      <w:color w:val="0033CC"/>
      <w:u w:val="none"/>
    </w:rPr>
  </w:style>
  <w:style w:type="paragraph" w:customStyle="1" w:styleId="BodyTextRight">
    <w:name w:val="Body Text Right"/>
    <w:basedOn w:val="BodyText"/>
    <w:rsid w:val="008D6E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6E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6E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6E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6E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6E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6E67"/>
    <w:rPr>
      <w:sz w:val="32"/>
    </w:rPr>
  </w:style>
  <w:style w:type="paragraph" w:customStyle="1" w:styleId="HeadingProcedure">
    <w:name w:val="Heading Procedure"/>
    <w:basedOn w:val="HeadingBase"/>
    <w:next w:val="Normal"/>
    <w:rsid w:val="008D6E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6E67"/>
    <w:pPr>
      <w:spacing w:before="60" w:after="60"/>
    </w:pPr>
  </w:style>
  <w:style w:type="paragraph" w:styleId="ListContinue">
    <w:name w:val="List Continue"/>
    <w:basedOn w:val="List"/>
    <w:rsid w:val="008D6E67"/>
    <w:pPr>
      <w:ind w:firstLine="0"/>
    </w:pPr>
  </w:style>
  <w:style w:type="paragraph" w:customStyle="1" w:styleId="ListNote">
    <w:name w:val="List Note"/>
    <w:basedOn w:val="List"/>
    <w:rsid w:val="008D6E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6E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6E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6E67"/>
    <w:rPr>
      <w:rFonts w:ascii="Courier New" w:hAnsi="Courier New"/>
    </w:rPr>
  </w:style>
  <w:style w:type="paragraph" w:customStyle="1" w:styleId="NoteBullet">
    <w:name w:val="Note Bullet"/>
    <w:basedOn w:val="Note"/>
    <w:rsid w:val="008D6E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6E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6E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6E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6E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6E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6E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6E67"/>
    <w:rPr>
      <w:b/>
      <w:smallCaps/>
    </w:rPr>
  </w:style>
  <w:style w:type="paragraph" w:customStyle="1" w:styleId="TableListNumber">
    <w:name w:val="Table List Number"/>
    <w:basedOn w:val="ListNumber"/>
    <w:rsid w:val="008D6E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6E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6E67"/>
    <w:pPr>
      <w:numPr>
        <w:numId w:val="9"/>
      </w:numPr>
    </w:pPr>
  </w:style>
  <w:style w:type="paragraph" w:customStyle="1" w:styleId="ListAlpha2">
    <w:name w:val="List Alpha 2"/>
    <w:basedOn w:val="List2"/>
    <w:rsid w:val="008D6E67"/>
    <w:pPr>
      <w:numPr>
        <w:numId w:val="8"/>
      </w:numPr>
    </w:pPr>
  </w:style>
  <w:style w:type="paragraph" w:styleId="List2">
    <w:name w:val="List 2"/>
    <w:basedOn w:val="BodyText"/>
    <w:rsid w:val="008D6E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6E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6E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6E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6E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6E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6E67"/>
    <w:pPr>
      <w:numPr>
        <w:numId w:val="4"/>
      </w:numPr>
    </w:pPr>
  </w:style>
  <w:style w:type="paragraph" w:styleId="ListContinue2">
    <w:name w:val="List Continue 2"/>
    <w:basedOn w:val="List2"/>
    <w:rsid w:val="008D6E67"/>
    <w:pPr>
      <w:ind w:firstLine="0"/>
    </w:pPr>
  </w:style>
  <w:style w:type="paragraph" w:styleId="ListContinue3">
    <w:name w:val="List Continue 3"/>
    <w:basedOn w:val="List3"/>
    <w:rsid w:val="008D6E67"/>
    <w:pPr>
      <w:ind w:left="1021" w:firstLine="0"/>
    </w:pPr>
  </w:style>
  <w:style w:type="paragraph" w:styleId="ListContinue4">
    <w:name w:val="List Continue 4"/>
    <w:basedOn w:val="List4"/>
    <w:rsid w:val="008D6E67"/>
    <w:pPr>
      <w:ind w:firstLine="0"/>
    </w:pPr>
  </w:style>
  <w:style w:type="paragraph" w:styleId="ListContinue5">
    <w:name w:val="List Continue 5"/>
    <w:basedOn w:val="List5"/>
    <w:rsid w:val="008D6E67"/>
    <w:pPr>
      <w:ind w:firstLine="0"/>
    </w:pPr>
  </w:style>
  <w:style w:type="paragraph" w:styleId="ListNumber3">
    <w:name w:val="List Number 3"/>
    <w:basedOn w:val="List3"/>
    <w:rsid w:val="008D6E67"/>
    <w:pPr>
      <w:numPr>
        <w:numId w:val="5"/>
      </w:numPr>
    </w:pPr>
  </w:style>
  <w:style w:type="paragraph" w:styleId="ListNumber4">
    <w:name w:val="List Number 4"/>
    <w:basedOn w:val="List4"/>
    <w:rsid w:val="008D6E67"/>
    <w:pPr>
      <w:numPr>
        <w:numId w:val="6"/>
      </w:numPr>
    </w:pPr>
  </w:style>
  <w:style w:type="paragraph" w:styleId="ListNumber5">
    <w:name w:val="List Number 5"/>
    <w:basedOn w:val="List5"/>
    <w:rsid w:val="008D6E67"/>
    <w:pPr>
      <w:numPr>
        <w:numId w:val="7"/>
      </w:numPr>
    </w:pPr>
  </w:style>
  <w:style w:type="paragraph" w:styleId="BlockText">
    <w:name w:val="Block Text"/>
    <w:basedOn w:val="Normal"/>
    <w:rsid w:val="008D6E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6E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6E67"/>
    <w:rPr>
      <w:sz w:val="16"/>
      <w:vertAlign w:val="superscript"/>
    </w:rPr>
  </w:style>
  <w:style w:type="character" w:customStyle="1" w:styleId="Symbols">
    <w:name w:val="Symbols"/>
    <w:basedOn w:val="DefaultParagraphFont"/>
    <w:rsid w:val="008D6E67"/>
    <w:rPr>
      <w:rFonts w:ascii="Symbol" w:hAnsi="Symbol"/>
    </w:rPr>
  </w:style>
  <w:style w:type="character" w:customStyle="1" w:styleId="MenuOptions">
    <w:name w:val="Menu Options"/>
    <w:basedOn w:val="DefaultParagraphFont"/>
    <w:rsid w:val="008D6E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6E67"/>
    <w:rPr>
      <w:b/>
    </w:rPr>
  </w:style>
  <w:style w:type="character" w:customStyle="1" w:styleId="Underlined">
    <w:name w:val="Underlined"/>
    <w:basedOn w:val="DefaultParagraphFont"/>
    <w:rsid w:val="008D6E67"/>
    <w:rPr>
      <w:u w:val="single"/>
    </w:rPr>
  </w:style>
  <w:style w:type="paragraph" w:customStyle="1" w:styleId="TableBodyTextRight">
    <w:name w:val="Table Body Text Right"/>
    <w:basedOn w:val="TableBodyText"/>
    <w:rsid w:val="008D6E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6E67"/>
    <w:rPr>
      <w:sz w:val="18"/>
    </w:rPr>
  </w:style>
  <w:style w:type="paragraph" w:customStyle="1" w:styleId="BodySmallRight">
    <w:name w:val="Body Small Right"/>
    <w:basedOn w:val="BodyTextRight"/>
    <w:rsid w:val="008D6E67"/>
    <w:rPr>
      <w:sz w:val="18"/>
      <w:szCs w:val="18"/>
    </w:rPr>
  </w:style>
  <w:style w:type="paragraph" w:customStyle="1" w:styleId="MarginEdition">
    <w:name w:val="Margin Edition"/>
    <w:basedOn w:val="MarginNote"/>
    <w:rsid w:val="008D6E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6E67"/>
    <w:rPr>
      <w:sz w:val="2"/>
      <w:szCs w:val="2"/>
    </w:rPr>
  </w:style>
  <w:style w:type="character" w:customStyle="1" w:styleId="Small">
    <w:name w:val="Small"/>
    <w:basedOn w:val="DefaultParagraphFont"/>
    <w:rsid w:val="008D6E67"/>
    <w:rPr>
      <w:sz w:val="16"/>
    </w:rPr>
  </w:style>
  <w:style w:type="paragraph" w:customStyle="1" w:styleId="WideTable">
    <w:name w:val="Wide Table"/>
    <w:basedOn w:val="Normal"/>
    <w:rsid w:val="008D6E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6E67"/>
  </w:style>
  <w:style w:type="paragraph" w:styleId="Quote">
    <w:name w:val="Quote"/>
    <w:basedOn w:val="Heading1"/>
    <w:link w:val="QuoteChar"/>
    <w:qFormat/>
    <w:rsid w:val="008D6E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6E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6E67"/>
    <w:pPr>
      <w:pageBreakBefore/>
    </w:pPr>
  </w:style>
  <w:style w:type="paragraph" w:customStyle="1" w:styleId="Border">
    <w:name w:val="Border"/>
    <w:basedOn w:val="Normal"/>
    <w:qFormat/>
    <w:rsid w:val="008D6E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6E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6E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6E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6E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6E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6E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6E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6E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6E67"/>
    <w:rPr>
      <w:u w:val="single"/>
    </w:rPr>
  </w:style>
  <w:style w:type="character" w:customStyle="1" w:styleId="BoldandItalics">
    <w:name w:val="Bold and Italics"/>
    <w:qFormat/>
    <w:rsid w:val="008D6E67"/>
    <w:rPr>
      <w:b/>
      <w:i/>
      <w:u w:val="none"/>
    </w:rPr>
  </w:style>
  <w:style w:type="paragraph" w:styleId="BalloonText">
    <w:name w:val="Balloon Text"/>
    <w:basedOn w:val="Normal"/>
    <w:link w:val="BalloonTextChar"/>
    <w:rsid w:val="008D6E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6E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6E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6E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6E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6E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6E6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526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529</Words>
  <Characters>3527</Characters>
  <Application>Microsoft Office Word</Application>
  <DocSecurity>0</DocSecurity>
  <Lines>95</Lines>
  <Paragraphs>79</Paragraphs>
  <ScaleCrop>false</ScaleCrop>
  <Company>Author-it Software Corporation Ltd.</Company>
  <LinksUpToDate>false</LinksUpToDate>
  <CharactersWithSpaces>3977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AHCORG409 Manage biodynamic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2025-02-11T07:21:00Z</dcterms:created>
  <dcterms:modified xsi:type="dcterms:W3CDTF">2025-02-11T07:21:00Z</dcterms:modified>
</cp:coreProperties>
</file>