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E8F" w:rsidP="001D5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AHCOCM502 Develop conservation strategies for cultural resources</w:t>
      </w:r>
      <w:r>
        <w:fldChar w:fldCharType="end"/>
      </w:r>
    </w:p>
    <w:p w:rsidR="001D5E8F" w:rsidP="001D5E8F">
      <w:pPr>
        <w:pStyle w:val="Version"/>
        <w:sectPr w:rsidSect="007F3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F3B" w:rsidP="007F3F3B">
      <w:pPr>
        <w:pStyle w:val="SuperHeading"/>
      </w:pPr>
      <w:r w:rsidRPr="007F3F3B">
        <w:t>AHCOCM502 Develop conservation strategies for cultural resources</w:t>
      </w:r>
    </w:p>
    <w:p w:rsidR="00000000" w:rsidRPr="007F3F3B" w:rsidP="007F3F3B">
      <w:pPr>
        <w:pStyle w:val="Heading1"/>
      </w:pPr>
      <w:bookmarkStart w:id="1" w:name="O_1272600"/>
      <w:bookmarkEnd w:id="1"/>
      <w:r w:rsidRPr="007F3F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Comments</w:t>
            </w:r>
          </w:p>
        </w:tc>
      </w:tr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>This version released with Agriculture, Horticulture and Conservation and Land Management Training Package Version 9.0.</w:t>
            </w:r>
          </w:p>
        </w:tc>
      </w:tr>
    </w:tbl>
    <w:p w:rsidR="00000000" w:rsidRPr="007F3F3B" w:rsidP="007F3F3B">
      <w:pPr>
        <w:pStyle w:val="BodyText"/>
      </w:pPr>
    </w:p>
    <w:p w:rsidR="00000000" w:rsidRPr="007F3F3B" w:rsidP="007F3F3B">
      <w:pPr>
        <w:pStyle w:val="AllowPageBreak"/>
      </w:pPr>
    </w:p>
    <w:p w:rsidR="00000000" w:rsidRPr="007F3F3B" w:rsidP="007F3F3B">
      <w:pPr>
        <w:pStyle w:val="Heading1"/>
      </w:pPr>
      <w:bookmarkStart w:id="2" w:name="O_1272601"/>
      <w:bookmarkEnd w:id="2"/>
      <w:r w:rsidRPr="007F3F3B">
        <w:t>Application</w:t>
      </w:r>
    </w:p>
    <w:p w:rsidR="00000000" w:rsidRPr="007F3F3B" w:rsidP="001D5E8F">
      <w:pPr>
        <w:pStyle w:val="BodyText"/>
      </w:pPr>
      <w:r w:rsidRPr="007F3F3B">
        <w:t>This unit of competency describes the skills and knowledge required to develop conservation strategies for cultural resources.</w:t>
      </w:r>
    </w:p>
    <w:p w:rsidR="00000000" w:rsidRPr="007F3F3B" w:rsidP="001D5E8F">
      <w:pPr>
        <w:pStyle w:val="BodyText"/>
      </w:pPr>
      <w:r w:rsidRPr="007F3F3B">
        <w:t>This unit applies to those who develop conservation strategies and management policies for cultural</w:t>
      </w:r>
      <w:r w:rsidRPr="007F3F3B">
        <w:t xml:space="preserve"> resources as part of the overall park management and planning process. These individuals take responsibility for their own work and provide and communicate solutions to a range of predictable and sometimes unpredictable problems. </w:t>
      </w:r>
    </w:p>
    <w:p w:rsidR="00000000" w:rsidRPr="007F3F3B" w:rsidP="001D5E8F">
      <w:pPr>
        <w:pStyle w:val="BodyText"/>
      </w:pPr>
      <w:r w:rsidRPr="007F3F3B">
        <w:t>No licensing, legislativ</w:t>
      </w:r>
      <w:r w:rsidRPr="007F3F3B">
        <w:t>e or certification requirements apply to this unit at the time of publication.</w:t>
      </w:r>
    </w:p>
    <w:p w:rsidR="00000000" w:rsidRPr="007F3F3B" w:rsidP="007F3F3B">
      <w:pPr>
        <w:pStyle w:val="Heading1"/>
      </w:pPr>
      <w:bookmarkStart w:id="3" w:name="O_1272602"/>
      <w:bookmarkEnd w:id="3"/>
      <w:r w:rsidRPr="007F3F3B">
        <w:t>Pre-requisite Unit</w:t>
      </w:r>
    </w:p>
    <w:p w:rsidR="00000000" w:rsidRPr="007F3F3B" w:rsidP="001D5E8F">
      <w:pPr>
        <w:pStyle w:val="BodyText"/>
      </w:pPr>
      <w:r w:rsidRPr="007F3F3B">
        <w:t>Nil</w:t>
      </w:r>
    </w:p>
    <w:p w:rsidR="00000000" w:rsidRPr="007F3F3B" w:rsidP="007F3F3B">
      <w:pPr>
        <w:pStyle w:val="Heading1"/>
      </w:pPr>
      <w:bookmarkStart w:id="4" w:name="O_1272604"/>
      <w:bookmarkEnd w:id="4"/>
      <w:r w:rsidRPr="007F3F3B">
        <w:t>Unit Sector</w:t>
      </w:r>
    </w:p>
    <w:p w:rsidR="00000000" w:rsidRPr="007F3F3B" w:rsidP="001D5E8F">
      <w:pPr>
        <w:pStyle w:val="BodyText"/>
      </w:pPr>
      <w:r w:rsidRPr="007F3F3B">
        <w:t>On Country Management (OCM)</w:t>
      </w:r>
    </w:p>
    <w:p w:rsidR="00000000" w:rsidRPr="007F3F3B" w:rsidP="007F3F3B">
      <w:pPr>
        <w:pStyle w:val="Heading1"/>
      </w:pPr>
      <w:bookmarkStart w:id="5" w:name="O_1272605"/>
      <w:bookmarkEnd w:id="5"/>
      <w:r w:rsidRPr="007F3F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Performance Criteria</w:t>
            </w:r>
          </w:p>
        </w:tc>
      </w:tr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1. Define components of cultural heritage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>1.1 Define and record geographic and ope</w:t>
            </w:r>
            <w:r w:rsidRPr="007F3F3B">
              <w:t>rational boundaries for conservation policy</w:t>
            </w:r>
          </w:p>
          <w:p w:rsidR="00000000" w:rsidRPr="007F3F3B" w:rsidP="007F3F3B">
            <w:pPr>
              <w:pStyle w:val="BodyText"/>
            </w:pPr>
            <w:r w:rsidRPr="007F3F3B">
              <w:t xml:space="preserve">1.2 Review and collate results of studies of cultural significance for places and areas within the boundaries to develop park, reserve or </w:t>
            </w:r>
            <w:r w:rsidRPr="007F3F3B">
              <w:t>region significance</w:t>
            </w:r>
          </w:p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1.3 Develop limits of acceptable change in the form of</w:t>
            </w:r>
            <w:r w:rsidRPr="007F3F3B">
              <w:t xml:space="preserve"> deterioration and damage to the places of cultural significance according to legislative and organisational requirements</w:t>
            </w:r>
          </w:p>
        </w:tc>
      </w:tr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2. Review past strategies, plans and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>2.1 Compare and document previous strategies and plans with collated assessment of significance to determine compatibility</w:t>
            </w:r>
          </w:p>
          <w:p w:rsidR="00000000" w:rsidRPr="007F3F3B" w:rsidP="007F3F3B">
            <w:pPr>
              <w:pStyle w:val="BodyText"/>
            </w:pPr>
            <w:r w:rsidRPr="007F3F3B">
              <w:t>2.2 Review current activities in the area to assess their compatibility with the collated assessment of significance</w:t>
            </w:r>
          </w:p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2.3 Document are</w:t>
            </w:r>
            <w:r w:rsidRPr="007F3F3B">
              <w:t>as of incompatibility</w:t>
            </w:r>
          </w:p>
        </w:tc>
      </w:tr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3. Review current and potential resource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>3.1 Assess and document impact of current uses of the cultural resources against the set limits of acceptable change to determine success of conservation approach</w:t>
            </w:r>
          </w:p>
          <w:p w:rsidR="00000000" w:rsidRPr="007F3F3B" w:rsidP="007F3F3B">
            <w:pPr>
              <w:pStyle w:val="BodyText"/>
            </w:pPr>
            <w:r w:rsidRPr="007F3F3B">
              <w:t>3.2 Assess feasible uses</w:t>
            </w:r>
            <w:r w:rsidRPr="007F3F3B">
              <w:t xml:space="preserve"> of resources against client requirements and report to management</w:t>
            </w:r>
          </w:p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3.3 Develop possible changes to resource use to ensure sustainability of cultural values and environment and record</w:t>
            </w:r>
          </w:p>
        </w:tc>
      </w:tr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4. Identify threats to cultural places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>4.1 Identify and record threats t</w:t>
            </w:r>
            <w:r w:rsidRPr="007F3F3B">
              <w:t>o cultural significance and the environment both external and internal to the area under consideration</w:t>
            </w:r>
          </w:p>
          <w:p w:rsidR="00000000" w:rsidRPr="007F3F3B" w:rsidP="007F3F3B">
            <w:pPr>
              <w:pStyle w:val="BodyText"/>
            </w:pPr>
            <w:r w:rsidRPr="007F3F3B">
              <w:t>4.2 Conduct and document a risk assessment of all threats to determine potential impact on strategies</w:t>
            </w:r>
          </w:p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4.3 Document policy changes required to address the</w:t>
            </w:r>
            <w:r w:rsidRPr="007F3F3B">
              <w:t xml:space="preserve"> threats</w:t>
            </w:r>
          </w:p>
        </w:tc>
      </w:tr>
      <w:tr w:rsidTr="001D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5. Develop strategies for management of cultural resource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 xml:space="preserve">5.1 Develop draft policy to address the cultural significance that meets any shortfalls in previous strategies, allows for compatible resource uses and addresses risks associated with any </w:t>
            </w:r>
            <w:r w:rsidRPr="007F3F3B">
              <w:t>threats to the cultural values of the area</w:t>
            </w:r>
          </w:p>
          <w:p w:rsidR="00000000" w:rsidRPr="007F3F3B" w:rsidP="007F3F3B">
            <w:pPr>
              <w:pStyle w:val="BodyText"/>
            </w:pPr>
            <w:r w:rsidRPr="007F3F3B">
              <w:t>5.2 Review policy to ensure compliance with Burra Charter guidelines</w:t>
            </w:r>
          </w:p>
          <w:p w:rsidR="00000000" w:rsidRPr="007F3F3B" w:rsidP="007F3F3B">
            <w:pPr>
              <w:pStyle w:val="BodyText"/>
            </w:pPr>
            <w:r w:rsidRPr="007F3F3B">
              <w:t>5.3 Conduct consultations with stakeholders on draft policy in accordance with legislative, organisational and good practice requirements</w:t>
            </w:r>
          </w:p>
          <w:p w:rsidR="00000000" w:rsidRPr="007F3F3B" w:rsidP="007F3F3B">
            <w:pPr>
              <w:pStyle w:val="BodyText"/>
            </w:pPr>
            <w:r w:rsidRPr="007F3F3B">
              <w:t>5.4 En</w:t>
            </w:r>
            <w:r w:rsidRPr="007F3F3B">
              <w:t>sure consultations comply with cultural protocols and organisational approaches to stakeholders</w:t>
            </w:r>
          </w:p>
          <w:p w:rsidR="00000000" w:rsidRPr="007F3F3B" w:rsidP="007F3F3B">
            <w:pPr>
              <w:pStyle w:val="BodyText"/>
            </w:pPr>
            <w:r w:rsidRPr="007F3F3B">
              <w:t>5.5 Finalise management strategies to reflect stakeholder views as required in legislation, government policies, organisational strategies and procedures, and e</w:t>
            </w:r>
            <w:r w:rsidRPr="007F3F3B">
              <w:t>nvironmental sustainability requirements</w:t>
            </w:r>
          </w:p>
          <w:p w:rsidR="00000000" w:rsidRPr="007F3F3B" w:rsidP="007F3F3B">
            <w:pPr>
              <w:pStyle w:val="BodyText"/>
            </w:pPr>
            <w:r w:rsidRPr="007F3F3B">
              <w:t>5.6 Submit strategies for approval to legislative and organisational requirements</w:t>
            </w:r>
          </w:p>
        </w:tc>
      </w:tr>
    </w:tbl>
    <w:p w:rsidR="00000000" w:rsidRPr="007F3F3B" w:rsidP="007F3F3B">
      <w:pPr>
        <w:pStyle w:val="BodyText"/>
      </w:pPr>
    </w:p>
    <w:p w:rsidR="00000000" w:rsidRPr="007F3F3B" w:rsidP="007F3F3B">
      <w:pPr>
        <w:pStyle w:val="AllowPageBreak"/>
      </w:pPr>
    </w:p>
    <w:p w:rsidR="00000000" w:rsidRPr="007F3F3B" w:rsidP="007F3F3B">
      <w:pPr>
        <w:pStyle w:val="Heading1"/>
      </w:pPr>
      <w:bookmarkStart w:id="6" w:name="O_1272606"/>
      <w:bookmarkEnd w:id="6"/>
      <w:r w:rsidRPr="007F3F3B">
        <w:t>Foundation Skills</w:t>
      </w:r>
    </w:p>
    <w:p w:rsidR="00000000" w:rsidRPr="001D5E8F" w:rsidP="001D5E8F">
      <w:pPr>
        <w:pStyle w:val="BodyText"/>
        <w:rPr>
          <w:i/>
        </w:rPr>
      </w:pPr>
      <w:r w:rsidRPr="001D5E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Description</w:t>
            </w:r>
          </w:p>
        </w:tc>
      </w:tr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ListBullet"/>
              <w:rPr>
                <w:lang w:val="en-NZ"/>
              </w:rPr>
            </w:pPr>
            <w:r w:rsidRPr="007F3F3B">
              <w:t>Interpret, analyse and extract infor</w:t>
            </w:r>
            <w:r w:rsidRPr="007F3F3B">
              <w:t>mation from a range of sources, including legal documents, policies and procedures</w:t>
            </w:r>
          </w:p>
        </w:tc>
      </w:tr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ListBullet"/>
            </w:pPr>
            <w:r w:rsidRPr="007F3F3B">
              <w:t xml:space="preserve">Use culturally appropriate verbal and non-verbal communication </w:t>
            </w:r>
          </w:p>
        </w:tc>
      </w:tr>
    </w:tbl>
    <w:p w:rsidR="00000000" w:rsidRPr="007F3F3B" w:rsidP="007F3F3B">
      <w:pPr>
        <w:pStyle w:val="BodyText"/>
      </w:pPr>
    </w:p>
    <w:p w:rsidR="00000000" w:rsidRPr="007F3F3B" w:rsidP="007F3F3B">
      <w:pPr>
        <w:pStyle w:val="AllowPageBreak"/>
      </w:pPr>
    </w:p>
    <w:p w:rsidR="00000000" w:rsidRPr="007F3F3B" w:rsidP="007F3F3B">
      <w:pPr>
        <w:pStyle w:val="Heading1"/>
      </w:pPr>
      <w:bookmarkStart w:id="7" w:name="O_1272608"/>
      <w:bookmarkEnd w:id="7"/>
      <w:r w:rsidRPr="007F3F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Bold"/>
              <w:rPr>
                <w:lang w:val="en-NZ"/>
              </w:rPr>
            </w:pPr>
            <w:r w:rsidRPr="007F3F3B">
              <w:t>Equivalence status</w:t>
            </w:r>
          </w:p>
        </w:tc>
      </w:tr>
      <w:tr w:rsidTr="007F3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AHCOCM502 Develop conservation strategies for cultural resources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AHCILM502 Develop conservation strategies for cultural resources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>Application updated</w:t>
            </w:r>
          </w:p>
          <w:p w:rsidR="00000000" w:rsidRPr="007F3F3B" w:rsidP="007F3F3B">
            <w:pPr>
              <w:pStyle w:val="BodyText"/>
            </w:pPr>
            <w:r w:rsidRPr="007F3F3B">
              <w:t>Elements and Performance Criteria revised for clarity</w:t>
            </w:r>
          </w:p>
          <w:p w:rsidR="00000000" w:rsidRPr="007F3F3B" w:rsidP="007F3F3B">
            <w:pPr>
              <w:pStyle w:val="BodyText"/>
            </w:pPr>
            <w:r w:rsidRPr="007F3F3B">
              <w:t>Foundation Skills added</w:t>
            </w:r>
          </w:p>
          <w:p w:rsidR="00000000" w:rsidP="007F3F3B">
            <w:pPr>
              <w:pStyle w:val="BodyText"/>
              <w:rPr>
                <w:lang w:val="en-NZ"/>
              </w:rPr>
            </w:pPr>
            <w:r w:rsidRPr="007F3F3B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3B" w:rsidP="007F3F3B">
            <w:pPr>
              <w:pStyle w:val="BodyText"/>
            </w:pPr>
            <w:r w:rsidRPr="007F3F3B">
              <w:t xml:space="preserve">Not equivalent </w:t>
            </w:r>
          </w:p>
        </w:tc>
      </w:tr>
    </w:tbl>
    <w:p w:rsidR="00000000" w:rsidRPr="007F3F3B" w:rsidP="007F3F3B">
      <w:pPr>
        <w:pStyle w:val="BodyText"/>
      </w:pPr>
    </w:p>
    <w:p w:rsidR="00000000" w:rsidRPr="007F3F3B" w:rsidP="007F3F3B">
      <w:pPr>
        <w:pStyle w:val="AllowPageBreak"/>
      </w:pPr>
    </w:p>
    <w:p w:rsidR="00000000" w:rsidRPr="007F3F3B" w:rsidP="007F3F3B">
      <w:pPr>
        <w:pStyle w:val="Heading1"/>
      </w:pPr>
      <w:bookmarkStart w:id="8" w:name="O_1272615"/>
      <w:bookmarkEnd w:id="8"/>
      <w:r w:rsidRPr="007F3F3B">
        <w:t>Links</w:t>
      </w:r>
    </w:p>
    <w:p w:rsidR="00000000" w:rsidRPr="007F3F3B" w:rsidP="001D5E8F">
      <w:pPr>
        <w:pStyle w:val="BodyText"/>
      </w:pPr>
      <w:r w:rsidRPr="007F3F3B">
        <w:t>Companion Volumes, including Implementation Guides, are avai</w:t>
      </w:r>
      <w:r w:rsidRPr="007F3F3B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2E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3F3B" w:rsidP="007F3F3B"/>
    <w:sectPr w:rsidSect="007F3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B" w:rsidRPr="001D5E8F" w:rsidP="001D5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8F" w:rsidP="007F3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E8F" w:rsidP="007F3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5E8F" w:rsidP="007F3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F3B" w:rsidRPr="001D5E8F" w:rsidP="001D5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E8F" w:rsidRPr="002D2AF8" w:rsidP="007F3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AHCOCM502 Develop conservation strategies for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5E8F" w:rsidP="007F3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DCA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041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F3B"/>
  </w:style>
  <w:style w:type="character" w:customStyle="1" w:styleId="Heading1Char">
    <w:name w:val="Heading 1 Char"/>
    <w:basedOn w:val="DefaultParagraphFont"/>
    <w:link w:val="Heading1"/>
    <w:rsid w:val="007F3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F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F3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3F3B"/>
    <w:rPr>
      <w:i/>
    </w:rPr>
  </w:style>
  <w:style w:type="paragraph" w:customStyle="1" w:styleId="SuperHeading">
    <w:name w:val="SuperHeading"/>
    <w:basedOn w:val="Normal"/>
    <w:rsid w:val="007F3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3F3B"/>
    <w:rPr>
      <w:b/>
    </w:rPr>
  </w:style>
  <w:style w:type="character" w:customStyle="1" w:styleId="Heading2Char">
    <w:name w:val="Heading 2 Char"/>
    <w:basedOn w:val="DefaultParagraphFont"/>
    <w:link w:val="Heading2"/>
    <w:rsid w:val="007F3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F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F3B"/>
    <w:rPr>
      <w:b/>
      <w:spacing w:val="0"/>
    </w:rPr>
  </w:style>
  <w:style w:type="paragraph" w:customStyle="1" w:styleId="SuperTitle">
    <w:name w:val="SuperTitle"/>
    <w:basedOn w:val="Title"/>
    <w:rsid w:val="007F3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F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F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F3B"/>
  </w:style>
  <w:style w:type="paragraph" w:styleId="TableofFigures">
    <w:name w:val="table of figures"/>
    <w:basedOn w:val="Normal"/>
    <w:next w:val="Normal"/>
    <w:semiHidden/>
    <w:rsid w:val="007F3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F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F3B"/>
    <w:rPr>
      <w:rFonts w:ascii="Wingdings" w:hAnsi="Wingdings"/>
    </w:rPr>
  </w:style>
  <w:style w:type="paragraph" w:customStyle="1" w:styleId="TableHeading">
    <w:name w:val="Table Heading"/>
    <w:basedOn w:val="HeadingBase"/>
    <w:rsid w:val="007F3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F3B"/>
    <w:rPr>
      <w:color w:val="0033CC"/>
      <w:u w:val="none"/>
    </w:rPr>
  </w:style>
  <w:style w:type="paragraph" w:customStyle="1" w:styleId="BodyTextRight">
    <w:name w:val="Body Text Right"/>
    <w:basedOn w:val="BodyText"/>
    <w:rsid w:val="007F3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F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F3B"/>
    <w:rPr>
      <w:sz w:val="32"/>
    </w:rPr>
  </w:style>
  <w:style w:type="paragraph" w:customStyle="1" w:styleId="HeadingProcedure">
    <w:name w:val="Heading Procedure"/>
    <w:basedOn w:val="HeadingBase"/>
    <w:next w:val="Normal"/>
    <w:rsid w:val="007F3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F3B"/>
    <w:pPr>
      <w:spacing w:before="60" w:after="60"/>
    </w:pPr>
  </w:style>
  <w:style w:type="paragraph" w:styleId="ListContinue">
    <w:name w:val="List Continue"/>
    <w:basedOn w:val="List"/>
    <w:rsid w:val="007F3F3B"/>
    <w:pPr>
      <w:ind w:firstLine="0"/>
    </w:pPr>
  </w:style>
  <w:style w:type="paragraph" w:customStyle="1" w:styleId="ListNote">
    <w:name w:val="List Note"/>
    <w:basedOn w:val="List"/>
    <w:rsid w:val="007F3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F3B"/>
    <w:rPr>
      <w:rFonts w:ascii="Courier New" w:hAnsi="Courier New"/>
    </w:rPr>
  </w:style>
  <w:style w:type="paragraph" w:customStyle="1" w:styleId="NoteBullet">
    <w:name w:val="Note Bullet"/>
    <w:basedOn w:val="Note"/>
    <w:rsid w:val="007F3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F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F3B"/>
    <w:rPr>
      <w:b/>
      <w:smallCaps/>
    </w:rPr>
  </w:style>
  <w:style w:type="paragraph" w:customStyle="1" w:styleId="TableListNumber">
    <w:name w:val="Table List Number"/>
    <w:basedOn w:val="ListNumber"/>
    <w:rsid w:val="007F3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F3B"/>
    <w:pPr>
      <w:numPr>
        <w:numId w:val="8"/>
      </w:numPr>
    </w:pPr>
  </w:style>
  <w:style w:type="paragraph" w:customStyle="1" w:styleId="ListAlpha2">
    <w:name w:val="List Alpha 2"/>
    <w:basedOn w:val="List2"/>
    <w:rsid w:val="007F3F3B"/>
    <w:pPr>
      <w:numPr>
        <w:numId w:val="7"/>
      </w:numPr>
    </w:pPr>
  </w:style>
  <w:style w:type="paragraph" w:styleId="List2">
    <w:name w:val="List 2"/>
    <w:basedOn w:val="BodyText"/>
    <w:rsid w:val="007F3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F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F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F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F3B"/>
    <w:pPr>
      <w:numPr>
        <w:numId w:val="3"/>
      </w:numPr>
    </w:pPr>
  </w:style>
  <w:style w:type="paragraph" w:styleId="ListContinue2">
    <w:name w:val="List Continue 2"/>
    <w:basedOn w:val="List2"/>
    <w:rsid w:val="007F3F3B"/>
    <w:pPr>
      <w:ind w:firstLine="0"/>
    </w:pPr>
  </w:style>
  <w:style w:type="paragraph" w:styleId="ListContinue3">
    <w:name w:val="List Continue 3"/>
    <w:basedOn w:val="List3"/>
    <w:rsid w:val="007F3F3B"/>
    <w:pPr>
      <w:ind w:left="1021" w:firstLine="0"/>
    </w:pPr>
  </w:style>
  <w:style w:type="paragraph" w:styleId="ListContinue4">
    <w:name w:val="List Continue 4"/>
    <w:basedOn w:val="List4"/>
    <w:rsid w:val="007F3F3B"/>
    <w:pPr>
      <w:ind w:firstLine="0"/>
    </w:pPr>
  </w:style>
  <w:style w:type="paragraph" w:styleId="ListContinue5">
    <w:name w:val="List Continue 5"/>
    <w:basedOn w:val="List5"/>
    <w:rsid w:val="007F3F3B"/>
    <w:pPr>
      <w:ind w:firstLine="0"/>
    </w:pPr>
  </w:style>
  <w:style w:type="paragraph" w:styleId="ListNumber3">
    <w:name w:val="List Number 3"/>
    <w:basedOn w:val="List3"/>
    <w:rsid w:val="007F3F3B"/>
    <w:pPr>
      <w:numPr>
        <w:numId w:val="4"/>
      </w:numPr>
    </w:pPr>
  </w:style>
  <w:style w:type="paragraph" w:styleId="ListNumber4">
    <w:name w:val="List Number 4"/>
    <w:basedOn w:val="List4"/>
    <w:rsid w:val="007F3F3B"/>
    <w:pPr>
      <w:numPr>
        <w:numId w:val="5"/>
      </w:numPr>
    </w:pPr>
  </w:style>
  <w:style w:type="paragraph" w:styleId="ListNumber5">
    <w:name w:val="List Number 5"/>
    <w:basedOn w:val="List5"/>
    <w:rsid w:val="007F3F3B"/>
    <w:pPr>
      <w:numPr>
        <w:numId w:val="6"/>
      </w:numPr>
    </w:pPr>
  </w:style>
  <w:style w:type="paragraph" w:styleId="BlockText">
    <w:name w:val="Block Text"/>
    <w:basedOn w:val="Normal"/>
    <w:rsid w:val="007F3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F3B"/>
    <w:rPr>
      <w:sz w:val="16"/>
      <w:vertAlign w:val="superscript"/>
    </w:rPr>
  </w:style>
  <w:style w:type="character" w:customStyle="1" w:styleId="Symbols">
    <w:name w:val="Symbols"/>
    <w:basedOn w:val="DefaultParagraphFont"/>
    <w:rsid w:val="007F3F3B"/>
    <w:rPr>
      <w:rFonts w:ascii="Symbol" w:hAnsi="Symbol"/>
    </w:rPr>
  </w:style>
  <w:style w:type="character" w:customStyle="1" w:styleId="MenuOptions">
    <w:name w:val="Menu Options"/>
    <w:basedOn w:val="DefaultParagraphFont"/>
    <w:rsid w:val="007F3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F3B"/>
    <w:rPr>
      <w:b/>
    </w:rPr>
  </w:style>
  <w:style w:type="character" w:customStyle="1" w:styleId="Underlined">
    <w:name w:val="Underlined"/>
    <w:basedOn w:val="DefaultParagraphFont"/>
    <w:rsid w:val="007F3F3B"/>
    <w:rPr>
      <w:u w:val="single"/>
    </w:rPr>
  </w:style>
  <w:style w:type="paragraph" w:customStyle="1" w:styleId="TableBodyTextRight">
    <w:name w:val="Table Body Text Right"/>
    <w:basedOn w:val="TableBodyText"/>
    <w:rsid w:val="007F3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F3B"/>
    <w:rPr>
      <w:sz w:val="18"/>
    </w:rPr>
  </w:style>
  <w:style w:type="paragraph" w:customStyle="1" w:styleId="BodySmallRight">
    <w:name w:val="Body Small Right"/>
    <w:basedOn w:val="BodyTextRight"/>
    <w:rsid w:val="007F3F3B"/>
    <w:rPr>
      <w:sz w:val="18"/>
      <w:szCs w:val="18"/>
    </w:rPr>
  </w:style>
  <w:style w:type="paragraph" w:customStyle="1" w:styleId="MarginEdition">
    <w:name w:val="Margin Edition"/>
    <w:basedOn w:val="MarginNote"/>
    <w:rsid w:val="007F3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F3B"/>
    <w:rPr>
      <w:sz w:val="2"/>
      <w:szCs w:val="2"/>
    </w:rPr>
  </w:style>
  <w:style w:type="character" w:customStyle="1" w:styleId="Small">
    <w:name w:val="Small"/>
    <w:basedOn w:val="DefaultParagraphFont"/>
    <w:rsid w:val="007F3F3B"/>
    <w:rPr>
      <w:sz w:val="16"/>
    </w:rPr>
  </w:style>
  <w:style w:type="paragraph" w:customStyle="1" w:styleId="WideTable">
    <w:name w:val="Wide Table"/>
    <w:basedOn w:val="Normal"/>
    <w:rsid w:val="007F3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F3B"/>
  </w:style>
  <w:style w:type="paragraph" w:styleId="Quote">
    <w:name w:val="Quote"/>
    <w:basedOn w:val="Heading1"/>
    <w:link w:val="QuoteChar"/>
    <w:qFormat/>
    <w:rsid w:val="007F3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F3B"/>
    <w:pPr>
      <w:pageBreakBefore/>
    </w:pPr>
  </w:style>
  <w:style w:type="paragraph" w:customStyle="1" w:styleId="Border">
    <w:name w:val="Border"/>
    <w:basedOn w:val="Normal"/>
    <w:qFormat/>
    <w:rsid w:val="007F3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F3B"/>
    <w:rPr>
      <w:u w:val="single"/>
    </w:rPr>
  </w:style>
  <w:style w:type="character" w:customStyle="1" w:styleId="BoldandItalics">
    <w:name w:val="Bold and Italics"/>
    <w:qFormat/>
    <w:rsid w:val="007F3F3B"/>
    <w:rPr>
      <w:b/>
      <w:i/>
      <w:u w:val="none"/>
    </w:rPr>
  </w:style>
  <w:style w:type="paragraph" w:styleId="BalloonText">
    <w:name w:val="Balloon Text"/>
    <w:basedOn w:val="Normal"/>
    <w:link w:val="BalloonTextChar"/>
    <w:rsid w:val="007F3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F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5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4179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AHCOCM502 Develop conservation strategies for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