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BF6" w:rsidP="003E3B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AHCNRM505 Provide technical advice on sustainable catchment management</w:t>
      </w:r>
      <w:r>
        <w:fldChar w:fldCharType="end"/>
      </w:r>
    </w:p>
    <w:p w:rsidR="003E3BF6" w:rsidP="003E3BF6">
      <w:pPr>
        <w:pStyle w:val="Version"/>
        <w:sectPr w:rsidSect="005256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56C2" w:rsidP="005256C2">
      <w:pPr>
        <w:pStyle w:val="SuperHeading"/>
      </w:pPr>
      <w:r w:rsidRPr="005256C2">
        <w:t>Assessment Requirements for AHCNRM505 Provide technical advice on sustainable catchment management</w:t>
      </w:r>
    </w:p>
    <w:p w:rsidR="00000000" w:rsidRPr="005256C2" w:rsidP="005256C2">
      <w:pPr>
        <w:pStyle w:val="Heading1"/>
      </w:pPr>
      <w:bookmarkStart w:id="1" w:name="O_1151477"/>
      <w:bookmarkEnd w:id="1"/>
      <w:r w:rsidRPr="005256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E3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C2" w:rsidP="005256C2">
            <w:pPr>
              <w:pStyle w:val="BodyText"/>
            </w:pPr>
            <w:r w:rsidRPr="005256C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C2">
            <w:pPr>
              <w:pStyle w:val="BodyText"/>
              <w:rPr>
                <w:lang w:val="en-NZ"/>
              </w:rPr>
            </w:pPr>
            <w:r w:rsidRPr="005256C2">
              <w:rPr>
                <w:rStyle w:val="SpecialBold"/>
              </w:rPr>
              <w:t>Comments</w:t>
            </w:r>
          </w:p>
        </w:tc>
      </w:tr>
      <w:tr w:rsidTr="003E3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C2">
            <w:pPr>
              <w:pStyle w:val="BodyText"/>
              <w:rPr>
                <w:lang w:val="en-NZ"/>
              </w:rPr>
            </w:pPr>
            <w:r w:rsidRPr="005256C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C2">
            <w:pPr>
              <w:pStyle w:val="BodyText"/>
              <w:rPr>
                <w:lang w:val="en-NZ"/>
              </w:rPr>
            </w:pPr>
            <w:r w:rsidRPr="005256C2">
              <w:t>This version released with AHC Agriculture, Horticulture and Conservation and Land Management Training Package Version 6.0.</w:t>
            </w:r>
          </w:p>
        </w:tc>
      </w:tr>
      <w:tr w:rsidTr="003E3B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56C2">
            <w:pPr>
              <w:pStyle w:val="BodyText"/>
              <w:rPr>
                <w:lang w:val="en-NZ"/>
              </w:rPr>
            </w:pPr>
            <w:r w:rsidRPr="005256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56C2" w:rsidP="005256C2">
            <w:pPr>
              <w:pStyle w:val="BodyText"/>
            </w:pPr>
            <w:r w:rsidRPr="005256C2">
              <w:t>This version released with AHC Agriculture, Horticulture and Conservation and Land Management Training Package Version 1.</w:t>
            </w:r>
            <w:r w:rsidRPr="005256C2">
              <w:t>0.</w:t>
            </w:r>
          </w:p>
        </w:tc>
      </w:tr>
    </w:tbl>
    <w:p w:rsidR="00000000" w:rsidRPr="005256C2" w:rsidP="005256C2">
      <w:pPr>
        <w:pStyle w:val="BodyTextBold"/>
      </w:pPr>
    </w:p>
    <w:p w:rsidR="00000000" w:rsidRPr="005256C2" w:rsidP="005256C2">
      <w:pPr>
        <w:pStyle w:val="AllowPageBreak"/>
      </w:pPr>
    </w:p>
    <w:p w:rsidR="00000000" w:rsidRPr="005256C2" w:rsidP="005256C2">
      <w:pPr>
        <w:pStyle w:val="Heading1"/>
      </w:pPr>
      <w:bookmarkStart w:id="2" w:name="O_1151476"/>
      <w:bookmarkEnd w:id="2"/>
      <w:r w:rsidRPr="005256C2">
        <w:t>Performance Evidence</w:t>
      </w:r>
    </w:p>
    <w:p w:rsidR="00000000" w:rsidRPr="005256C2" w:rsidP="003E3BF6">
      <w:pPr>
        <w:pStyle w:val="BodyText"/>
      </w:pPr>
      <w:r w:rsidRPr="005256C2">
        <w:t xml:space="preserve">An individual demonstrating competency must satisfy all of the elements and performance criteria in this unit. </w:t>
      </w:r>
    </w:p>
    <w:p w:rsidR="00000000" w:rsidRPr="005256C2" w:rsidP="003E3BF6">
      <w:pPr>
        <w:pStyle w:val="BodyText"/>
      </w:pPr>
      <w:r w:rsidRPr="005256C2">
        <w:t>There must be evidence that, on at least one occasion, the individual has pro</w:t>
      </w:r>
      <w:r w:rsidRPr="005256C2">
        <w:t>vided technical advice on sustainable catchment management to land managers in a catchment area or region, according to state and regional legislation, regulations and strategies and stakeholder requirements.</w:t>
      </w:r>
    </w:p>
    <w:p w:rsidR="00000000" w:rsidRPr="005256C2" w:rsidP="003E3BF6">
      <w:pPr>
        <w:pStyle w:val="BodyText"/>
      </w:pPr>
      <w:r w:rsidRPr="005256C2">
        <w:t>There must also be evidence that the individual</w:t>
      </w:r>
      <w:r w:rsidRPr="005256C2">
        <w:t xml:space="preserve"> has:</w:t>
      </w:r>
    </w:p>
    <w:p w:rsidR="00000000" w:rsidRPr="005256C2" w:rsidP="005256C2">
      <w:pPr>
        <w:pStyle w:val="ListBullet"/>
      </w:pPr>
      <w:r w:rsidRPr="005256C2">
        <w:t>reviewed state and regional legislation, regulations and strategies for relevance to responsibilities of land managers</w:t>
      </w:r>
    </w:p>
    <w:p w:rsidR="00000000" w:rsidRPr="005256C2" w:rsidP="005256C2">
      <w:pPr>
        <w:pStyle w:val="ListBullet"/>
      </w:pPr>
      <w:r w:rsidRPr="005256C2">
        <w:t>analysed issues, processes and techniques in sustainable land management</w:t>
      </w:r>
    </w:p>
    <w:p w:rsidR="00000000" w:rsidRPr="005256C2" w:rsidP="005256C2">
      <w:pPr>
        <w:pStyle w:val="ListBullet"/>
      </w:pPr>
      <w:r w:rsidRPr="005256C2">
        <w:t>assessed land management practices in complying with long</w:t>
      </w:r>
      <w:r w:rsidRPr="005256C2">
        <w:t>-term objectives of a catchment or region</w:t>
      </w:r>
    </w:p>
    <w:p w:rsidR="00000000" w:rsidRPr="005256C2" w:rsidP="005256C2">
      <w:pPr>
        <w:pStyle w:val="ListBullet"/>
      </w:pPr>
      <w:r w:rsidRPr="005256C2">
        <w:t>sourced and communicated advice on sustainable land management practices to a variety of land managers in a knowledgeable and non-threatening manner.</w:t>
      </w:r>
    </w:p>
    <w:p w:rsidR="00000000" w:rsidRPr="005256C2" w:rsidP="005256C2">
      <w:pPr>
        <w:pStyle w:val="AllowPageBreak"/>
      </w:pPr>
    </w:p>
    <w:p w:rsidR="00000000" w:rsidRPr="005256C2" w:rsidP="005256C2">
      <w:pPr>
        <w:pStyle w:val="Heading1"/>
      </w:pPr>
      <w:bookmarkStart w:id="3" w:name="O_1151475"/>
      <w:bookmarkEnd w:id="3"/>
      <w:r w:rsidRPr="005256C2">
        <w:t>Knowledge Evidence</w:t>
      </w:r>
    </w:p>
    <w:p w:rsidR="00000000" w:rsidRPr="005256C2" w:rsidP="003E3BF6">
      <w:pPr>
        <w:pStyle w:val="BodyText"/>
      </w:pPr>
      <w:r w:rsidRPr="005256C2">
        <w:t>An individual must be able</w:t>
      </w:r>
      <w:r w:rsidRPr="005256C2">
        <w:t xml:space="preserve"> to demonstrate the knowledge required to perform the tasks outlined in the elements and performance criteria of this unit. This includes knowledge of:</w:t>
      </w:r>
    </w:p>
    <w:p w:rsidR="00000000" w:rsidRPr="005256C2" w:rsidP="005256C2">
      <w:pPr>
        <w:pStyle w:val="ListBullet"/>
      </w:pPr>
      <w:r w:rsidRPr="005256C2">
        <w:t>geological processes and influences on land management, including:</w:t>
      </w:r>
    </w:p>
    <w:p w:rsidR="00000000" w:rsidRPr="005256C2" w:rsidP="005256C2">
      <w:pPr>
        <w:pStyle w:val="ListBullet2"/>
      </w:pPr>
      <w:r w:rsidRPr="005256C2">
        <w:t>rock types and weathering</w:t>
      </w:r>
    </w:p>
    <w:p w:rsidR="00000000" w:rsidRPr="005256C2" w:rsidP="005256C2">
      <w:pPr>
        <w:pStyle w:val="ListBullet2"/>
      </w:pPr>
      <w:r w:rsidRPr="005256C2">
        <w:t>soil formation and soil types</w:t>
      </w:r>
    </w:p>
    <w:p w:rsidR="00000000" w:rsidRPr="005256C2" w:rsidP="005256C2">
      <w:pPr>
        <w:pStyle w:val="ListBullet"/>
      </w:pPr>
      <w:r w:rsidRPr="005256C2">
        <w:t>ecological processes, including:</w:t>
      </w:r>
    </w:p>
    <w:p w:rsidR="00000000" w:rsidRPr="005256C2" w:rsidP="005256C2">
      <w:pPr>
        <w:pStyle w:val="ListBullet2"/>
      </w:pPr>
      <w:r w:rsidRPr="005256C2">
        <w:t>energy flow through ecological systems</w:t>
      </w:r>
    </w:p>
    <w:p w:rsidR="00000000" w:rsidRPr="005256C2" w:rsidP="005256C2">
      <w:pPr>
        <w:pStyle w:val="ListBullet2"/>
      </w:pPr>
      <w:r w:rsidRPr="005256C2">
        <w:t>matter flow through ecological systems</w:t>
      </w:r>
    </w:p>
    <w:p w:rsidR="00000000" w:rsidRPr="005256C2" w:rsidP="005256C2">
      <w:pPr>
        <w:pStyle w:val="ListBullet2"/>
      </w:pPr>
      <w:r w:rsidRPr="005256C2">
        <w:t>nutrient cycling</w:t>
      </w:r>
    </w:p>
    <w:p w:rsidR="00000000" w:rsidRPr="005256C2" w:rsidP="005256C2">
      <w:pPr>
        <w:pStyle w:val="ListBullet"/>
      </w:pPr>
      <w:r w:rsidRPr="005256C2">
        <w:t>land degradation processes and impacts, including:</w:t>
      </w:r>
    </w:p>
    <w:p w:rsidR="00000000" w:rsidRPr="005256C2" w:rsidP="005256C2">
      <w:pPr>
        <w:pStyle w:val="ListBullet2"/>
      </w:pPr>
      <w:r w:rsidRPr="005256C2">
        <w:t>soil compaction</w:t>
      </w:r>
    </w:p>
    <w:p w:rsidR="00000000" w:rsidRPr="005256C2" w:rsidP="005256C2">
      <w:pPr>
        <w:pStyle w:val="ListBullet2"/>
      </w:pPr>
      <w:r w:rsidRPr="005256C2">
        <w:t>erosion</w:t>
      </w:r>
    </w:p>
    <w:p w:rsidR="00000000" w:rsidRPr="005256C2" w:rsidP="005256C2">
      <w:pPr>
        <w:pStyle w:val="ListBullet2"/>
      </w:pPr>
      <w:r w:rsidRPr="005256C2">
        <w:t>tree decline</w:t>
      </w:r>
    </w:p>
    <w:p w:rsidR="00000000" w:rsidRPr="005256C2" w:rsidP="005256C2">
      <w:pPr>
        <w:pStyle w:val="ListBullet2"/>
      </w:pPr>
      <w:r w:rsidRPr="005256C2">
        <w:t>pest p</w:t>
      </w:r>
      <w:r w:rsidRPr="005256C2">
        <w:t>lant and animal infestations</w:t>
      </w:r>
    </w:p>
    <w:p w:rsidR="00000000" w:rsidRPr="005256C2" w:rsidP="005256C2">
      <w:pPr>
        <w:pStyle w:val="ListBullet2"/>
      </w:pPr>
      <w:r w:rsidRPr="005256C2">
        <w:t>eutrophication</w:t>
      </w:r>
    </w:p>
    <w:p w:rsidR="00000000" w:rsidRPr="005256C2" w:rsidP="005256C2">
      <w:pPr>
        <w:pStyle w:val="ListBullet2"/>
      </w:pPr>
      <w:r w:rsidRPr="005256C2">
        <w:t>acidification</w:t>
      </w:r>
    </w:p>
    <w:p w:rsidR="00000000" w:rsidRPr="005256C2" w:rsidP="005256C2">
      <w:pPr>
        <w:pStyle w:val="ListBullet2"/>
      </w:pPr>
      <w:r w:rsidRPr="005256C2">
        <w:t>salinity</w:t>
      </w:r>
    </w:p>
    <w:p w:rsidR="00000000" w:rsidRPr="005256C2" w:rsidP="005256C2">
      <w:pPr>
        <w:pStyle w:val="ListBullet2"/>
      </w:pPr>
      <w:r w:rsidRPr="005256C2">
        <w:t>fertility decline</w:t>
      </w:r>
    </w:p>
    <w:p w:rsidR="00000000" w:rsidRPr="005256C2" w:rsidP="005256C2">
      <w:pPr>
        <w:pStyle w:val="ListBullet"/>
      </w:pPr>
      <w:r w:rsidRPr="005256C2">
        <w:t>catchment management principles, including:</w:t>
      </w:r>
    </w:p>
    <w:p w:rsidR="00000000" w:rsidRPr="005256C2" w:rsidP="005256C2">
      <w:pPr>
        <w:pStyle w:val="ListBullet2"/>
      </w:pPr>
      <w:r w:rsidRPr="005256C2">
        <w:t>catchment planning priorities and programs</w:t>
      </w:r>
    </w:p>
    <w:p w:rsidR="00000000" w:rsidRPr="005256C2" w:rsidP="005256C2">
      <w:pPr>
        <w:pStyle w:val="ListBullet2"/>
      </w:pPr>
      <w:r w:rsidRPr="005256C2">
        <w:t>roles and responsibilities of land users in catchments</w:t>
      </w:r>
    </w:p>
    <w:p w:rsidR="00000000" w:rsidRPr="005256C2" w:rsidP="005256C2">
      <w:pPr>
        <w:pStyle w:val="ListBullet"/>
      </w:pPr>
      <w:r w:rsidRPr="005256C2">
        <w:t>biodiversity, including:</w:t>
      </w:r>
    </w:p>
    <w:p w:rsidR="00000000" w:rsidRPr="005256C2" w:rsidP="005256C2">
      <w:pPr>
        <w:pStyle w:val="ListBullet2"/>
      </w:pPr>
      <w:r w:rsidRPr="005256C2">
        <w:t>basic plant identification techniques</w:t>
      </w:r>
    </w:p>
    <w:p w:rsidR="00000000" w:rsidRPr="005256C2" w:rsidP="005256C2">
      <w:pPr>
        <w:pStyle w:val="ListBullet2"/>
      </w:pPr>
      <w:r w:rsidRPr="005256C2">
        <w:t>animal identification</w:t>
      </w:r>
    </w:p>
    <w:p w:rsidR="00000000" w:rsidRPr="005256C2" w:rsidP="005256C2">
      <w:pPr>
        <w:pStyle w:val="ListBullet2"/>
      </w:pPr>
      <w:r w:rsidRPr="005256C2">
        <w:t>ecological vegetation communities</w:t>
      </w:r>
    </w:p>
    <w:p w:rsidR="00000000" w:rsidRPr="005256C2" w:rsidP="005256C2">
      <w:pPr>
        <w:pStyle w:val="ListBullet"/>
      </w:pPr>
      <w:r w:rsidRPr="005256C2">
        <w:t>whole property planning principles:</w:t>
      </w:r>
    </w:p>
    <w:p w:rsidR="00000000" w:rsidRPr="005256C2" w:rsidP="005256C2">
      <w:pPr>
        <w:pStyle w:val="ListBullet2"/>
      </w:pPr>
      <w:r w:rsidRPr="005256C2">
        <w:t>energy flows</w:t>
      </w:r>
    </w:p>
    <w:p w:rsidR="00000000" w:rsidRPr="005256C2" w:rsidP="005256C2">
      <w:pPr>
        <w:pStyle w:val="ListBullet2"/>
      </w:pPr>
      <w:r w:rsidRPr="005256C2">
        <w:t>sustainable water management</w:t>
      </w:r>
    </w:p>
    <w:p w:rsidR="00000000" w:rsidRPr="005256C2" w:rsidP="005256C2">
      <w:pPr>
        <w:pStyle w:val="ListBullet2"/>
      </w:pPr>
      <w:r w:rsidRPr="005256C2">
        <w:t>land capability.</w:t>
      </w:r>
    </w:p>
    <w:p w:rsidR="00000000" w:rsidRPr="005256C2" w:rsidP="005256C2">
      <w:pPr>
        <w:pStyle w:val="AllowPageBreak"/>
      </w:pPr>
    </w:p>
    <w:p w:rsidR="00000000" w:rsidRPr="005256C2" w:rsidP="005256C2">
      <w:pPr>
        <w:pStyle w:val="Heading1"/>
      </w:pPr>
      <w:bookmarkStart w:id="4" w:name="O_1151474"/>
      <w:bookmarkEnd w:id="4"/>
      <w:r w:rsidRPr="005256C2">
        <w:t>Assessment Conditions</w:t>
      </w:r>
    </w:p>
    <w:p w:rsidR="00000000" w:rsidRPr="005256C2" w:rsidP="003E3BF6">
      <w:pPr>
        <w:pStyle w:val="BodyText"/>
      </w:pPr>
      <w:r w:rsidRPr="005256C2">
        <w:t xml:space="preserve">Assessment of the skills in this unit of competency must take place under the following conditions: </w:t>
      </w:r>
    </w:p>
    <w:p w:rsidR="00000000" w:rsidRPr="005256C2" w:rsidP="005256C2">
      <w:pPr>
        <w:pStyle w:val="ListBullet"/>
      </w:pPr>
      <w:r w:rsidRPr="005256C2">
        <w:t>physical conditions:</w:t>
      </w:r>
    </w:p>
    <w:p w:rsidR="00000000" w:rsidRPr="005256C2" w:rsidP="005256C2">
      <w:pPr>
        <w:pStyle w:val="ListBullet2"/>
      </w:pPr>
      <w:r w:rsidRPr="005256C2">
        <w:t>skills must be demonstrated in an environment that accurately represents workplace conditions</w:t>
      </w:r>
    </w:p>
    <w:p w:rsidR="00000000" w:rsidRPr="005256C2" w:rsidP="005256C2">
      <w:pPr>
        <w:pStyle w:val="ListBullet"/>
      </w:pPr>
      <w:r w:rsidRPr="005256C2">
        <w:t>specifications:</w:t>
      </w:r>
    </w:p>
    <w:p w:rsidR="00000000" w:rsidRPr="005256C2" w:rsidP="005256C2">
      <w:pPr>
        <w:pStyle w:val="ListBullet2"/>
      </w:pPr>
      <w:r w:rsidRPr="005256C2">
        <w:t xml:space="preserve">workplace policies, </w:t>
      </w:r>
      <w:r w:rsidRPr="005256C2">
        <w:t>procedures and processes for catchment management</w:t>
      </w:r>
    </w:p>
    <w:p w:rsidR="00000000" w:rsidRPr="005256C2" w:rsidP="005256C2">
      <w:pPr>
        <w:pStyle w:val="ListBullet2"/>
      </w:pPr>
      <w:r w:rsidRPr="005256C2">
        <w:t>catchment management plans</w:t>
      </w:r>
    </w:p>
    <w:p w:rsidR="00000000" w:rsidRPr="005256C2" w:rsidP="005256C2">
      <w:pPr>
        <w:pStyle w:val="ListBullet2"/>
      </w:pPr>
      <w:r w:rsidRPr="005256C2">
        <w:t>legislation and regulations for catchment management</w:t>
      </w:r>
    </w:p>
    <w:p w:rsidR="00000000" w:rsidRPr="005256C2" w:rsidP="005256C2">
      <w:pPr>
        <w:pStyle w:val="ListBullet"/>
      </w:pPr>
      <w:r w:rsidRPr="005256C2">
        <w:t>relationships:</w:t>
      </w:r>
    </w:p>
    <w:p w:rsidR="00000000" w:rsidRPr="005256C2" w:rsidP="005256C2">
      <w:pPr>
        <w:pStyle w:val="ListBullet2"/>
      </w:pPr>
      <w:r w:rsidRPr="005256C2">
        <w:t>land managers.</w:t>
      </w:r>
    </w:p>
    <w:p w:rsidR="00000000" w:rsidRPr="005256C2" w:rsidP="003E3BF6">
      <w:pPr>
        <w:pStyle w:val="BodyText"/>
      </w:pPr>
      <w:r w:rsidRPr="005256C2">
        <w:t>Assessors of this unit must satisfy the requirements for assessors in applicable vocational ed</w:t>
      </w:r>
      <w:r w:rsidRPr="005256C2">
        <w:t>ucation and training legislation, frameworks and/or standards.</w:t>
      </w:r>
    </w:p>
    <w:p w:rsidR="00000000" w:rsidRPr="005256C2" w:rsidP="005256C2">
      <w:pPr>
        <w:pStyle w:val="Heading1"/>
      </w:pPr>
      <w:bookmarkStart w:id="5" w:name="O_1151488"/>
      <w:bookmarkEnd w:id="5"/>
      <w:r w:rsidRPr="005256C2">
        <w:t>Links</w:t>
      </w:r>
    </w:p>
    <w:p w:rsidR="00000000" w:rsidRPr="005256C2" w:rsidP="003E3BF6">
      <w:pPr>
        <w:pStyle w:val="BodyText"/>
      </w:pPr>
      <w:r w:rsidRPr="005256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43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56C2" w:rsidP="005256C2"/>
    <w:sectPr w:rsidSect="005256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C2" w:rsidRPr="003E3BF6" w:rsidP="003E3B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6" w:rsidP="005256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BF6" w:rsidP="005256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3BF6" w:rsidP="005256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56C2" w:rsidRPr="003E3BF6" w:rsidP="003E3B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BF6" w:rsidRPr="002D2AF8" w:rsidP="005256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AHCNRM505 Provide technical advice on sustainable catchment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3BF6" w:rsidP="005256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441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0EE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6005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6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56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56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56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56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56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56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56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56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56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56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56C2"/>
  </w:style>
  <w:style w:type="character" w:customStyle="1" w:styleId="Heading1Char">
    <w:name w:val="Heading 1 Char"/>
    <w:basedOn w:val="DefaultParagraphFont"/>
    <w:link w:val="Heading1"/>
    <w:rsid w:val="005256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56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56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56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56C2"/>
    <w:rPr>
      <w:b/>
      <w:spacing w:val="0"/>
    </w:rPr>
  </w:style>
  <w:style w:type="paragraph" w:styleId="ListBullet2">
    <w:name w:val="List Bullet 2"/>
    <w:basedOn w:val="List2"/>
    <w:rsid w:val="005256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56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56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56C2"/>
    <w:rPr>
      <w:b/>
    </w:rPr>
  </w:style>
  <w:style w:type="character" w:customStyle="1" w:styleId="Heading2Char">
    <w:name w:val="Heading 2 Char"/>
    <w:basedOn w:val="DefaultParagraphFont"/>
    <w:link w:val="Heading2"/>
    <w:rsid w:val="005256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56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56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5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56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5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56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56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56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56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56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56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56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56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56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56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56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56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56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56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56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56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56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56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56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56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56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56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56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56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56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56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56C2"/>
    <w:rPr>
      <w:i/>
    </w:rPr>
  </w:style>
  <w:style w:type="paragraph" w:styleId="Caption">
    <w:name w:val="caption"/>
    <w:basedOn w:val="BodyText"/>
    <w:next w:val="Normal"/>
    <w:qFormat/>
    <w:rsid w:val="005256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56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56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56C2"/>
  </w:style>
  <w:style w:type="paragraph" w:styleId="TableofFigures">
    <w:name w:val="table of figures"/>
    <w:basedOn w:val="Normal"/>
    <w:next w:val="Normal"/>
    <w:semiHidden/>
    <w:rsid w:val="005256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56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56C2"/>
    <w:rPr>
      <w:rFonts w:ascii="Wingdings" w:hAnsi="Wingdings"/>
    </w:rPr>
  </w:style>
  <w:style w:type="paragraph" w:customStyle="1" w:styleId="TableHeading">
    <w:name w:val="Table Heading"/>
    <w:basedOn w:val="HeadingBase"/>
    <w:rsid w:val="005256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56C2"/>
    <w:rPr>
      <w:color w:val="0033CC"/>
      <w:u w:val="none"/>
    </w:rPr>
  </w:style>
  <w:style w:type="paragraph" w:customStyle="1" w:styleId="BodyTextRight">
    <w:name w:val="Body Text Right"/>
    <w:basedOn w:val="BodyText"/>
    <w:rsid w:val="005256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56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56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56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56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56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56C2"/>
    <w:rPr>
      <w:sz w:val="32"/>
    </w:rPr>
  </w:style>
  <w:style w:type="paragraph" w:customStyle="1" w:styleId="HeadingProcedure">
    <w:name w:val="Heading Procedure"/>
    <w:basedOn w:val="HeadingBase"/>
    <w:next w:val="Normal"/>
    <w:rsid w:val="005256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56C2"/>
    <w:pPr>
      <w:spacing w:before="60" w:after="60"/>
    </w:pPr>
  </w:style>
  <w:style w:type="paragraph" w:styleId="ListContinue">
    <w:name w:val="List Continue"/>
    <w:basedOn w:val="List"/>
    <w:rsid w:val="005256C2"/>
    <w:pPr>
      <w:ind w:firstLine="0"/>
    </w:pPr>
  </w:style>
  <w:style w:type="paragraph" w:customStyle="1" w:styleId="ListNote">
    <w:name w:val="List Note"/>
    <w:basedOn w:val="List"/>
    <w:rsid w:val="005256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56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56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56C2"/>
    <w:rPr>
      <w:rFonts w:ascii="Courier New" w:hAnsi="Courier New"/>
    </w:rPr>
  </w:style>
  <w:style w:type="paragraph" w:customStyle="1" w:styleId="NoteBullet">
    <w:name w:val="Note Bullet"/>
    <w:basedOn w:val="Note"/>
    <w:rsid w:val="005256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56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56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56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56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56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56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56C2"/>
    <w:rPr>
      <w:b/>
      <w:smallCaps/>
    </w:rPr>
  </w:style>
  <w:style w:type="paragraph" w:customStyle="1" w:styleId="TableListNumber">
    <w:name w:val="Table List Number"/>
    <w:basedOn w:val="ListNumber"/>
    <w:rsid w:val="005256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56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56C2"/>
    <w:pPr>
      <w:numPr>
        <w:numId w:val="9"/>
      </w:numPr>
    </w:pPr>
  </w:style>
  <w:style w:type="paragraph" w:customStyle="1" w:styleId="ListAlpha2">
    <w:name w:val="List Alpha 2"/>
    <w:basedOn w:val="List2"/>
    <w:rsid w:val="005256C2"/>
    <w:pPr>
      <w:numPr>
        <w:numId w:val="8"/>
      </w:numPr>
    </w:pPr>
  </w:style>
  <w:style w:type="paragraph" w:styleId="List2">
    <w:name w:val="List 2"/>
    <w:basedOn w:val="BodyText"/>
    <w:rsid w:val="005256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56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56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56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56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56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56C2"/>
    <w:pPr>
      <w:numPr>
        <w:numId w:val="4"/>
      </w:numPr>
    </w:pPr>
  </w:style>
  <w:style w:type="paragraph" w:styleId="ListContinue2">
    <w:name w:val="List Continue 2"/>
    <w:basedOn w:val="List2"/>
    <w:rsid w:val="005256C2"/>
    <w:pPr>
      <w:ind w:firstLine="0"/>
    </w:pPr>
  </w:style>
  <w:style w:type="paragraph" w:styleId="ListContinue3">
    <w:name w:val="List Continue 3"/>
    <w:basedOn w:val="List3"/>
    <w:rsid w:val="005256C2"/>
    <w:pPr>
      <w:ind w:left="1021" w:firstLine="0"/>
    </w:pPr>
  </w:style>
  <w:style w:type="paragraph" w:styleId="ListContinue4">
    <w:name w:val="List Continue 4"/>
    <w:basedOn w:val="List4"/>
    <w:rsid w:val="005256C2"/>
    <w:pPr>
      <w:ind w:firstLine="0"/>
    </w:pPr>
  </w:style>
  <w:style w:type="paragraph" w:styleId="ListContinue5">
    <w:name w:val="List Continue 5"/>
    <w:basedOn w:val="List5"/>
    <w:rsid w:val="005256C2"/>
    <w:pPr>
      <w:ind w:firstLine="0"/>
    </w:pPr>
  </w:style>
  <w:style w:type="paragraph" w:styleId="ListNumber3">
    <w:name w:val="List Number 3"/>
    <w:basedOn w:val="List3"/>
    <w:rsid w:val="005256C2"/>
    <w:pPr>
      <w:numPr>
        <w:numId w:val="5"/>
      </w:numPr>
    </w:pPr>
  </w:style>
  <w:style w:type="paragraph" w:styleId="ListNumber4">
    <w:name w:val="List Number 4"/>
    <w:basedOn w:val="List4"/>
    <w:rsid w:val="005256C2"/>
    <w:pPr>
      <w:numPr>
        <w:numId w:val="6"/>
      </w:numPr>
    </w:pPr>
  </w:style>
  <w:style w:type="paragraph" w:styleId="ListNumber5">
    <w:name w:val="List Number 5"/>
    <w:basedOn w:val="List5"/>
    <w:rsid w:val="005256C2"/>
    <w:pPr>
      <w:numPr>
        <w:numId w:val="7"/>
      </w:numPr>
    </w:pPr>
  </w:style>
  <w:style w:type="paragraph" w:styleId="BlockText">
    <w:name w:val="Block Text"/>
    <w:basedOn w:val="Normal"/>
    <w:rsid w:val="005256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56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56C2"/>
    <w:rPr>
      <w:sz w:val="16"/>
      <w:vertAlign w:val="superscript"/>
    </w:rPr>
  </w:style>
  <w:style w:type="character" w:customStyle="1" w:styleId="Symbols">
    <w:name w:val="Symbols"/>
    <w:basedOn w:val="DefaultParagraphFont"/>
    <w:rsid w:val="005256C2"/>
    <w:rPr>
      <w:rFonts w:ascii="Symbol" w:hAnsi="Symbol"/>
    </w:rPr>
  </w:style>
  <w:style w:type="character" w:customStyle="1" w:styleId="MenuOptions">
    <w:name w:val="Menu Options"/>
    <w:basedOn w:val="DefaultParagraphFont"/>
    <w:rsid w:val="005256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56C2"/>
    <w:rPr>
      <w:b/>
    </w:rPr>
  </w:style>
  <w:style w:type="character" w:customStyle="1" w:styleId="Underlined">
    <w:name w:val="Underlined"/>
    <w:basedOn w:val="DefaultParagraphFont"/>
    <w:rsid w:val="005256C2"/>
    <w:rPr>
      <w:u w:val="single"/>
    </w:rPr>
  </w:style>
  <w:style w:type="paragraph" w:customStyle="1" w:styleId="TableBodyTextRight">
    <w:name w:val="Table Body Text Right"/>
    <w:basedOn w:val="TableBodyText"/>
    <w:rsid w:val="005256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56C2"/>
    <w:rPr>
      <w:sz w:val="18"/>
    </w:rPr>
  </w:style>
  <w:style w:type="paragraph" w:customStyle="1" w:styleId="BodySmallRight">
    <w:name w:val="Body Small Right"/>
    <w:basedOn w:val="BodyTextRight"/>
    <w:rsid w:val="005256C2"/>
    <w:rPr>
      <w:sz w:val="18"/>
      <w:szCs w:val="18"/>
    </w:rPr>
  </w:style>
  <w:style w:type="paragraph" w:customStyle="1" w:styleId="MarginEdition">
    <w:name w:val="Margin Edition"/>
    <w:basedOn w:val="MarginNote"/>
    <w:rsid w:val="005256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56C2"/>
    <w:rPr>
      <w:sz w:val="2"/>
      <w:szCs w:val="2"/>
    </w:rPr>
  </w:style>
  <w:style w:type="character" w:customStyle="1" w:styleId="Small">
    <w:name w:val="Small"/>
    <w:basedOn w:val="DefaultParagraphFont"/>
    <w:rsid w:val="005256C2"/>
    <w:rPr>
      <w:sz w:val="16"/>
    </w:rPr>
  </w:style>
  <w:style w:type="paragraph" w:customStyle="1" w:styleId="WideTable">
    <w:name w:val="Wide Table"/>
    <w:basedOn w:val="Normal"/>
    <w:rsid w:val="005256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56C2"/>
  </w:style>
  <w:style w:type="paragraph" w:styleId="Quote">
    <w:name w:val="Quote"/>
    <w:basedOn w:val="Heading1"/>
    <w:link w:val="QuoteChar"/>
    <w:qFormat/>
    <w:rsid w:val="005256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56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56C2"/>
    <w:pPr>
      <w:pageBreakBefore/>
    </w:pPr>
  </w:style>
  <w:style w:type="paragraph" w:customStyle="1" w:styleId="Border">
    <w:name w:val="Border"/>
    <w:basedOn w:val="Normal"/>
    <w:qFormat/>
    <w:rsid w:val="005256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56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6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6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56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56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56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56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56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56C2"/>
    <w:rPr>
      <w:u w:val="single"/>
    </w:rPr>
  </w:style>
  <w:style w:type="character" w:customStyle="1" w:styleId="BoldandItalics">
    <w:name w:val="Bold and Italics"/>
    <w:qFormat/>
    <w:rsid w:val="005256C2"/>
    <w:rPr>
      <w:b/>
      <w:i/>
      <w:u w:val="none"/>
    </w:rPr>
  </w:style>
  <w:style w:type="paragraph" w:styleId="BalloonText">
    <w:name w:val="Balloon Text"/>
    <w:basedOn w:val="Normal"/>
    <w:link w:val="BalloonTextChar"/>
    <w:rsid w:val="005256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56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56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56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56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56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56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3B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2918</Characters>
  <Application>Microsoft Office Word</Application>
  <DocSecurity>0</DocSecurity>
  <Lines>88</Lines>
  <Paragraphs>70</Paragraphs>
  <ScaleCrop>false</ScaleCrop>
  <Company>Author-it Software Corporation Ltd.</Company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AHCNRM505 Provide technical advice on sustainable catchment management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