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C9F" w:rsidP="00BF2C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AHCNRM503 Support the implementation of waterways strategies</w:t>
      </w:r>
      <w:r>
        <w:fldChar w:fldCharType="end"/>
      </w:r>
    </w:p>
    <w:p w:rsidR="00BF2C9F" w:rsidP="00BF2C9F">
      <w:pPr>
        <w:pStyle w:val="Version"/>
        <w:sectPr w:rsidSect="00EC0A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0ABD" w:rsidP="00EC0ABD">
      <w:pPr>
        <w:pStyle w:val="SuperHeading"/>
      </w:pPr>
      <w:r w:rsidRPr="00EC0ABD">
        <w:t>Assessment Requirements for AHCNRM503 Support the implementation of waterways strategies</w:t>
      </w:r>
    </w:p>
    <w:p w:rsidR="00000000" w:rsidRPr="00EC0ABD" w:rsidP="00EC0ABD">
      <w:pPr>
        <w:pStyle w:val="Heading1"/>
      </w:pPr>
      <w:bookmarkStart w:id="1" w:name="O_1151443"/>
      <w:bookmarkEnd w:id="1"/>
      <w:r w:rsidRPr="00EC0A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2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ABD" w:rsidP="00EC0ABD">
            <w:pPr>
              <w:pStyle w:val="BodyText"/>
            </w:pPr>
            <w:r w:rsidRPr="00EC0AB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ABD">
            <w:pPr>
              <w:pStyle w:val="BodyText"/>
              <w:rPr>
                <w:lang w:val="en-NZ"/>
              </w:rPr>
            </w:pPr>
            <w:r w:rsidRPr="00EC0ABD">
              <w:rPr>
                <w:rStyle w:val="SpecialBold"/>
              </w:rPr>
              <w:t>Comments</w:t>
            </w:r>
          </w:p>
        </w:tc>
      </w:tr>
      <w:tr w:rsidTr="00BF2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ABD">
            <w:pPr>
              <w:pStyle w:val="BodyText"/>
              <w:rPr>
                <w:lang w:val="en-NZ"/>
              </w:rPr>
            </w:pPr>
            <w:r w:rsidRPr="00EC0AB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ABD">
            <w:pPr>
              <w:pStyle w:val="BodyText"/>
              <w:rPr>
                <w:lang w:val="en-NZ"/>
              </w:rPr>
            </w:pPr>
            <w:r w:rsidRPr="00EC0ABD">
              <w:t>This version released with AHC Agriculture, Horticulture and Conservation and Land Management Training Package Version 6.0.</w:t>
            </w:r>
          </w:p>
        </w:tc>
      </w:tr>
      <w:tr w:rsidTr="00BF2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ABD">
            <w:pPr>
              <w:pStyle w:val="BodyText"/>
              <w:rPr>
                <w:lang w:val="en-NZ"/>
              </w:rPr>
            </w:pPr>
            <w:r w:rsidRPr="00EC0AB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ABD" w:rsidP="00EC0ABD">
            <w:pPr>
              <w:pStyle w:val="BodyText"/>
            </w:pPr>
            <w:r w:rsidRPr="00EC0ABD">
              <w:t>This version released with AHC Agriculture, Horticulture and Conservation and Land Management Training Package Version 1.</w:t>
            </w:r>
            <w:r w:rsidRPr="00EC0ABD">
              <w:t>0.</w:t>
            </w:r>
          </w:p>
        </w:tc>
      </w:tr>
    </w:tbl>
    <w:p w:rsidR="00000000" w:rsidRPr="00EC0ABD" w:rsidP="00EC0ABD">
      <w:pPr>
        <w:pStyle w:val="BodyTextBold"/>
      </w:pPr>
    </w:p>
    <w:p w:rsidR="00000000" w:rsidRPr="00EC0ABD" w:rsidP="00EC0ABD">
      <w:pPr>
        <w:pStyle w:val="AllowPageBreak"/>
      </w:pPr>
    </w:p>
    <w:p w:rsidR="00000000" w:rsidRPr="00EC0ABD" w:rsidP="00EC0ABD">
      <w:pPr>
        <w:pStyle w:val="Heading1"/>
      </w:pPr>
      <w:bookmarkStart w:id="2" w:name="O_1151442"/>
      <w:bookmarkEnd w:id="2"/>
      <w:r w:rsidRPr="00EC0ABD">
        <w:t>Performance Evidence</w:t>
      </w:r>
    </w:p>
    <w:p w:rsidR="00000000" w:rsidRPr="00EC0ABD" w:rsidP="00BF2C9F">
      <w:pPr>
        <w:pStyle w:val="BodyText"/>
      </w:pPr>
      <w:r w:rsidRPr="00EC0ABD">
        <w:t xml:space="preserve">An individual demonstrating competency must satisfy all of the elements and performance criteria in this unit. </w:t>
      </w:r>
    </w:p>
    <w:p w:rsidR="00000000" w:rsidRPr="00EC0ABD" w:rsidP="00BF2C9F">
      <w:pPr>
        <w:pStyle w:val="BodyText"/>
      </w:pPr>
      <w:r w:rsidRPr="00EC0ABD">
        <w:t xml:space="preserve">There must be evidence that, on at least one occasion, the individual has communicated </w:t>
      </w:r>
      <w:r w:rsidRPr="00EC0ABD">
        <w:t>with stakeholders, identified a diverse range of strategies and supported the implementation of waterways strategies.</w:t>
      </w:r>
    </w:p>
    <w:p w:rsidR="00000000" w:rsidRPr="00EC0ABD" w:rsidP="00BF2C9F">
      <w:pPr>
        <w:pStyle w:val="BodyText"/>
      </w:pPr>
      <w:r w:rsidRPr="00EC0ABD">
        <w:t>There must also be evidence that the individual has:</w:t>
      </w:r>
    </w:p>
    <w:p w:rsidR="00000000" w:rsidRPr="00EC0ABD" w:rsidP="00EC0ABD">
      <w:pPr>
        <w:pStyle w:val="ListBullet"/>
      </w:pPr>
      <w:r w:rsidRPr="00EC0ABD">
        <w:t>applied appropriate communication techniques in order to:</w:t>
      </w:r>
    </w:p>
    <w:p w:rsidR="00000000" w:rsidRPr="00EC0ABD" w:rsidP="00EC0ABD">
      <w:pPr>
        <w:pStyle w:val="ListBullet2"/>
      </w:pPr>
      <w:r w:rsidRPr="00EC0ABD">
        <w:t>collect information on ne</w:t>
      </w:r>
      <w:r w:rsidRPr="00EC0ABD">
        <w:t>eds</w:t>
      </w:r>
    </w:p>
    <w:p w:rsidR="00000000" w:rsidRPr="00EC0ABD" w:rsidP="00EC0ABD">
      <w:pPr>
        <w:pStyle w:val="ListBullet2"/>
      </w:pPr>
      <w:r w:rsidRPr="00EC0ABD">
        <w:t>inform funding opportunities</w:t>
      </w:r>
    </w:p>
    <w:p w:rsidR="00000000" w:rsidRPr="00EC0ABD" w:rsidP="00EC0ABD">
      <w:pPr>
        <w:pStyle w:val="ListBullet2"/>
      </w:pPr>
      <w:r w:rsidRPr="00EC0ABD">
        <w:t>develop plans and submissions</w:t>
      </w:r>
    </w:p>
    <w:p w:rsidR="00000000" w:rsidRPr="00EC0ABD" w:rsidP="00EC0ABD">
      <w:pPr>
        <w:pStyle w:val="ListBullet2"/>
      </w:pPr>
      <w:r w:rsidRPr="00EC0ABD">
        <w:t>educate and resolve conflict</w:t>
      </w:r>
    </w:p>
    <w:p w:rsidR="00000000" w:rsidRPr="00EC0ABD" w:rsidP="00EC0ABD">
      <w:pPr>
        <w:pStyle w:val="ListBullet"/>
      </w:pPr>
      <w:r w:rsidRPr="00EC0ABD">
        <w:t>identified and applied strategies to achieve priorities and related targets from catchment plans</w:t>
      </w:r>
    </w:p>
    <w:p w:rsidR="00000000" w:rsidRPr="00EC0ABD" w:rsidP="00EC0ABD">
      <w:pPr>
        <w:pStyle w:val="ListBullet"/>
      </w:pPr>
      <w:r w:rsidRPr="00EC0ABD">
        <w:t>evaluated progress towards achievement of priorities and targets</w:t>
      </w:r>
    </w:p>
    <w:p w:rsidR="00000000" w:rsidRPr="00EC0ABD" w:rsidP="00EC0ABD">
      <w:pPr>
        <w:pStyle w:val="ListBullet"/>
      </w:pPr>
      <w:r w:rsidRPr="00EC0ABD">
        <w:t>prioritised projects based on regional targets and funding provisions</w:t>
      </w:r>
    </w:p>
    <w:p w:rsidR="00000000" w:rsidRPr="00EC0ABD" w:rsidP="00EC0ABD">
      <w:pPr>
        <w:pStyle w:val="ListBullet"/>
      </w:pPr>
      <w:r w:rsidRPr="00EC0ABD">
        <w:t>determined funding requirements and identified funding mechanisms</w:t>
      </w:r>
    </w:p>
    <w:p w:rsidR="00000000" w:rsidRPr="00EC0ABD" w:rsidP="00EC0ABD">
      <w:pPr>
        <w:pStyle w:val="ListBullet"/>
      </w:pPr>
      <w:r w:rsidRPr="00EC0ABD">
        <w:t>supported the development of plans, which must include:</w:t>
      </w:r>
    </w:p>
    <w:p w:rsidR="00000000" w:rsidRPr="00EC0ABD" w:rsidP="00EC0ABD">
      <w:pPr>
        <w:pStyle w:val="ListBullet2"/>
      </w:pPr>
      <w:r w:rsidRPr="00EC0ABD">
        <w:t>priorities and targets</w:t>
      </w:r>
    </w:p>
    <w:p w:rsidR="00000000" w:rsidRPr="00EC0ABD" w:rsidP="00EC0ABD">
      <w:pPr>
        <w:pStyle w:val="ListBullet2"/>
      </w:pPr>
      <w:r w:rsidRPr="00EC0ABD">
        <w:t>strategies and program outcomes</w:t>
      </w:r>
    </w:p>
    <w:p w:rsidR="00000000" w:rsidRPr="00EC0ABD" w:rsidP="00EC0ABD">
      <w:pPr>
        <w:pStyle w:val="ListBullet2"/>
      </w:pPr>
      <w:r w:rsidRPr="00EC0ABD">
        <w:t>steps an</w:t>
      </w:r>
      <w:r w:rsidRPr="00EC0ABD">
        <w:t>d sequence of implementation</w:t>
      </w:r>
    </w:p>
    <w:p w:rsidR="00000000" w:rsidRPr="00EC0ABD" w:rsidP="00EC0ABD">
      <w:pPr>
        <w:pStyle w:val="ListBullet2"/>
      </w:pPr>
      <w:r w:rsidRPr="00EC0ABD">
        <w:t>monitoring and evaluation requirements and procedures</w:t>
      </w:r>
    </w:p>
    <w:p w:rsidR="00000000" w:rsidRPr="00EC0ABD" w:rsidP="00EC0ABD">
      <w:pPr>
        <w:pStyle w:val="ListBullet2"/>
      </w:pPr>
      <w:r w:rsidRPr="00EC0ABD">
        <w:t xml:space="preserve">reporting methodology </w:t>
      </w:r>
    </w:p>
    <w:p w:rsidR="00000000" w:rsidRPr="00EC0ABD" w:rsidP="00EC0ABD">
      <w:pPr>
        <w:pStyle w:val="ListBullet2"/>
      </w:pPr>
      <w:r w:rsidRPr="00EC0ABD">
        <w:t>communication strategy and procedures</w:t>
      </w:r>
    </w:p>
    <w:p w:rsidR="00000000" w:rsidRPr="00EC0ABD" w:rsidP="00EC0ABD">
      <w:pPr>
        <w:pStyle w:val="ListBullet"/>
      </w:pPr>
      <w:r w:rsidRPr="00EC0ABD">
        <w:t>developed reports for stakeholders and future planning purposes according to workplace requirements.</w:t>
      </w:r>
    </w:p>
    <w:p w:rsidR="00000000" w:rsidRPr="00EC0ABD" w:rsidP="00EC0ABD">
      <w:pPr>
        <w:pStyle w:val="AllowPageBreak"/>
      </w:pPr>
    </w:p>
    <w:p w:rsidR="00000000" w:rsidRPr="00EC0ABD" w:rsidP="00EC0ABD">
      <w:pPr>
        <w:pStyle w:val="Heading1"/>
      </w:pPr>
      <w:bookmarkStart w:id="3" w:name="O_1151441"/>
      <w:bookmarkEnd w:id="3"/>
      <w:r w:rsidRPr="00EC0ABD">
        <w:t>Knowledge Evidence</w:t>
      </w:r>
    </w:p>
    <w:p w:rsidR="00000000" w:rsidRPr="00EC0ABD" w:rsidP="00BF2C9F">
      <w:pPr>
        <w:pStyle w:val="BodyText"/>
      </w:pPr>
      <w:r w:rsidRPr="00EC0ABD">
        <w:t>An individual must be able to demonstrate the knowledge required to perform the tasks outlined in the elements and performance criteria of this unit. This includes knowledge of:</w:t>
      </w:r>
    </w:p>
    <w:p w:rsidR="00000000" w:rsidRPr="00EC0ABD" w:rsidP="00EC0ABD">
      <w:pPr>
        <w:pStyle w:val="ListBullet"/>
      </w:pPr>
      <w:r w:rsidRPr="00EC0ABD">
        <w:t>identifying and working with stakeholders, and their importance in building relationships for consultation and formulating strategies, including:</w:t>
      </w:r>
    </w:p>
    <w:p w:rsidR="00000000" w:rsidRPr="00EC0ABD" w:rsidP="00EC0ABD">
      <w:pPr>
        <w:pStyle w:val="ListBullet2"/>
      </w:pPr>
      <w:r w:rsidRPr="00EC0ABD">
        <w:t>waterways agencies and managing authorities</w:t>
      </w:r>
    </w:p>
    <w:p w:rsidR="00000000" w:rsidRPr="00EC0ABD" w:rsidP="00EC0ABD">
      <w:pPr>
        <w:pStyle w:val="ListBullet2"/>
      </w:pPr>
      <w:r w:rsidRPr="00EC0ABD">
        <w:t xml:space="preserve">Indigenous land rights and ownership </w:t>
      </w:r>
    </w:p>
    <w:p w:rsidR="00000000" w:rsidRPr="00EC0ABD" w:rsidP="00EC0ABD">
      <w:pPr>
        <w:pStyle w:val="ListBullet2"/>
      </w:pPr>
      <w:r w:rsidRPr="00EC0ABD">
        <w:t>special interest groups eng</w:t>
      </w:r>
      <w:r w:rsidRPr="00EC0ABD">
        <w:t>aged in water-based activities</w:t>
      </w:r>
    </w:p>
    <w:p w:rsidR="00000000" w:rsidRPr="00EC0ABD" w:rsidP="00EC0ABD">
      <w:pPr>
        <w:pStyle w:val="ListBullet2"/>
      </w:pPr>
      <w:r w:rsidRPr="00EC0ABD">
        <w:t>property owners impacted by waterways strategies and their obligations</w:t>
      </w:r>
    </w:p>
    <w:p w:rsidR="00000000" w:rsidRPr="00EC0ABD" w:rsidP="00EC0ABD">
      <w:pPr>
        <w:pStyle w:val="ListBullet2"/>
      </w:pPr>
      <w:r w:rsidRPr="00EC0ABD">
        <w:t xml:space="preserve">education and training </w:t>
      </w:r>
    </w:p>
    <w:p w:rsidR="00000000" w:rsidRPr="00EC0ABD" w:rsidP="00EC0ABD">
      <w:pPr>
        <w:pStyle w:val="ListBullet"/>
      </w:pPr>
      <w:r w:rsidRPr="00EC0ABD">
        <w:t>environmental legislation</w:t>
      </w:r>
    </w:p>
    <w:p w:rsidR="00000000" w:rsidRPr="00EC0ABD" w:rsidP="00EC0ABD">
      <w:pPr>
        <w:pStyle w:val="ListBullet"/>
      </w:pPr>
      <w:r w:rsidRPr="00EC0ABD">
        <w:t>contemporary regional catchment management strategies</w:t>
      </w:r>
    </w:p>
    <w:p w:rsidR="00000000" w:rsidRPr="00EC0ABD" w:rsidP="00EC0ABD">
      <w:pPr>
        <w:pStyle w:val="ListBullet"/>
      </w:pPr>
      <w:r w:rsidRPr="00EC0ABD">
        <w:t>ecology of aquatic environments and waterways man</w:t>
      </w:r>
      <w:r w:rsidRPr="00EC0ABD">
        <w:t>agement</w:t>
      </w:r>
    </w:p>
    <w:p w:rsidR="00000000" w:rsidRPr="00EC0ABD" w:rsidP="00EC0ABD">
      <w:pPr>
        <w:pStyle w:val="ListBullet"/>
      </w:pPr>
      <w:r w:rsidRPr="00EC0ABD">
        <w:t>principles of community capacity building and engagement</w:t>
      </w:r>
    </w:p>
    <w:p w:rsidR="00000000" w:rsidRPr="00EC0ABD" w:rsidP="00EC0ABD">
      <w:pPr>
        <w:pStyle w:val="ListBullet"/>
      </w:pPr>
      <w:r w:rsidRPr="00EC0ABD">
        <w:t>relevant policies across all levels of government and within the specific region, including those under catchment plans</w:t>
      </w:r>
    </w:p>
    <w:p w:rsidR="00000000" w:rsidRPr="00EC0ABD" w:rsidP="00EC0ABD">
      <w:pPr>
        <w:pStyle w:val="ListBullet"/>
      </w:pPr>
      <w:r w:rsidRPr="00EC0ABD">
        <w:t>waterways management and improvement techniques, including:</w:t>
      </w:r>
    </w:p>
    <w:p w:rsidR="00000000" w:rsidRPr="00EC0ABD" w:rsidP="00EC0ABD">
      <w:pPr>
        <w:pStyle w:val="ListBullet2"/>
      </w:pPr>
      <w:r w:rsidRPr="00EC0ABD">
        <w:t>fencing</w:t>
      </w:r>
    </w:p>
    <w:p w:rsidR="00000000" w:rsidRPr="00EC0ABD" w:rsidP="00EC0ABD">
      <w:pPr>
        <w:pStyle w:val="ListBullet2"/>
      </w:pPr>
      <w:r w:rsidRPr="00EC0ABD">
        <w:t>revegetation</w:t>
      </w:r>
    </w:p>
    <w:p w:rsidR="00000000" w:rsidRPr="00EC0ABD" w:rsidP="00EC0ABD">
      <w:pPr>
        <w:pStyle w:val="ListBullet2"/>
      </w:pPr>
      <w:r w:rsidRPr="00EC0ABD">
        <w:t>habitat restoration</w:t>
      </w:r>
    </w:p>
    <w:p w:rsidR="00000000" w:rsidRPr="00EC0ABD" w:rsidP="00EC0ABD">
      <w:pPr>
        <w:pStyle w:val="ListBullet2"/>
      </w:pPr>
      <w:r w:rsidRPr="00EC0ABD">
        <w:t>pest plant control.</w:t>
      </w:r>
    </w:p>
    <w:p w:rsidR="00000000" w:rsidRPr="00EC0ABD" w:rsidP="00EC0ABD">
      <w:pPr>
        <w:pStyle w:val="AllowPageBreak"/>
      </w:pPr>
    </w:p>
    <w:p w:rsidR="00000000" w:rsidRPr="00EC0ABD" w:rsidP="00EC0ABD">
      <w:pPr>
        <w:pStyle w:val="Heading1"/>
      </w:pPr>
      <w:bookmarkStart w:id="4" w:name="O_1151440"/>
      <w:bookmarkEnd w:id="4"/>
      <w:r w:rsidRPr="00EC0ABD">
        <w:t>Assessment Conditions</w:t>
      </w:r>
    </w:p>
    <w:p w:rsidR="00000000" w:rsidRPr="00EC0ABD" w:rsidP="00BF2C9F">
      <w:pPr>
        <w:pStyle w:val="BodyText"/>
      </w:pPr>
      <w:r w:rsidRPr="00EC0ABD">
        <w:t xml:space="preserve">Assessment of the skills in this unit of competency must take place under the following conditions: </w:t>
      </w:r>
    </w:p>
    <w:p w:rsidR="00000000" w:rsidRPr="00EC0ABD" w:rsidP="00EC0ABD">
      <w:pPr>
        <w:pStyle w:val="ListBullet"/>
      </w:pPr>
      <w:r w:rsidRPr="00EC0ABD">
        <w:t>physical conditions:</w:t>
      </w:r>
    </w:p>
    <w:p w:rsidR="00000000" w:rsidRPr="00EC0ABD" w:rsidP="00EC0ABD">
      <w:pPr>
        <w:pStyle w:val="ListBullet2"/>
      </w:pPr>
      <w:r w:rsidRPr="00EC0ABD">
        <w:t>skills must be demonstrated in an envi</w:t>
      </w:r>
      <w:r w:rsidRPr="00EC0ABD">
        <w:t>ronment that accurately represents workplace conditions</w:t>
      </w:r>
    </w:p>
    <w:p w:rsidR="00000000" w:rsidRPr="00EC0ABD" w:rsidP="00EC0ABD">
      <w:pPr>
        <w:pStyle w:val="ListBullet"/>
      </w:pPr>
      <w:r>
        <w:t>•</w:t>
      </w:r>
      <w:r>
        <w:tab/>
      </w:r>
      <w:r w:rsidRPr="00EC0ABD">
        <w:t>specifications:</w:t>
      </w:r>
    </w:p>
    <w:p w:rsidR="00000000" w:rsidRPr="00EC0ABD" w:rsidP="00EC0ABD">
      <w:pPr>
        <w:pStyle w:val="ListBullet2"/>
      </w:pPr>
      <w:r w:rsidRPr="00EC0ABD">
        <w:t>workplace policies, procedures and processes for implementing waterways strategies</w:t>
      </w:r>
    </w:p>
    <w:p w:rsidR="00000000" w:rsidRPr="00EC0ABD" w:rsidP="00EC0ABD">
      <w:pPr>
        <w:pStyle w:val="ListBullet2"/>
      </w:pPr>
      <w:r w:rsidRPr="00EC0ABD">
        <w:t>waterways strategies for implementation</w:t>
      </w:r>
    </w:p>
    <w:p w:rsidR="00000000" w:rsidRPr="00EC0ABD" w:rsidP="00EC0ABD">
      <w:pPr>
        <w:pStyle w:val="ListBullet2"/>
      </w:pPr>
      <w:r w:rsidRPr="00EC0ABD">
        <w:t xml:space="preserve">legislation and regulations for waterways management </w:t>
      </w:r>
    </w:p>
    <w:p w:rsidR="00000000" w:rsidRPr="00EC0ABD" w:rsidP="00EC0ABD">
      <w:pPr>
        <w:pStyle w:val="ListBullet"/>
      </w:pPr>
      <w:r w:rsidRPr="00EC0ABD">
        <w:t xml:space="preserve">relationships: </w:t>
      </w:r>
    </w:p>
    <w:p w:rsidR="00000000" w:rsidRPr="00EC0ABD" w:rsidP="00EC0ABD">
      <w:pPr>
        <w:pStyle w:val="ListBullet2"/>
      </w:pPr>
      <w:r w:rsidRPr="00EC0ABD">
        <w:t>stakeholders</w:t>
      </w:r>
    </w:p>
    <w:p w:rsidR="00000000" w:rsidRPr="00EC0ABD" w:rsidP="00EC0ABD">
      <w:pPr>
        <w:pStyle w:val="ListBullet"/>
      </w:pPr>
      <w:r w:rsidRPr="00EC0ABD">
        <w:t>timeframes:</w:t>
      </w:r>
    </w:p>
    <w:p w:rsidR="00000000" w:rsidRPr="00EC0ABD" w:rsidP="00EC0ABD">
      <w:pPr>
        <w:pStyle w:val="ListBullet2"/>
      </w:pPr>
      <w:r w:rsidRPr="00EC0ABD">
        <w:t>according to stakeholder needs.</w:t>
      </w:r>
    </w:p>
    <w:p w:rsidR="00000000" w:rsidRPr="00EC0ABD" w:rsidP="00BF2C9F">
      <w:pPr>
        <w:pStyle w:val="BodyText"/>
      </w:pPr>
      <w:r w:rsidRPr="00EC0ABD">
        <w:t>Assessors of this unit must satisfy the requirements for assessors in applicable vocational education and training legislation, frameworks and/or standards.</w:t>
      </w:r>
    </w:p>
    <w:p w:rsidR="00000000" w:rsidRPr="00EC0ABD" w:rsidP="00EC0ABD">
      <w:pPr>
        <w:pStyle w:val="Heading1"/>
      </w:pPr>
      <w:bookmarkStart w:id="5" w:name="O_1151454"/>
      <w:bookmarkEnd w:id="5"/>
      <w:r w:rsidRPr="00EC0ABD">
        <w:t>Link</w:t>
      </w:r>
      <w:r w:rsidRPr="00EC0ABD">
        <w:t>s</w:t>
      </w:r>
    </w:p>
    <w:p w:rsidR="00000000" w:rsidRPr="00EC0ABD" w:rsidP="00BF2C9F">
      <w:pPr>
        <w:pStyle w:val="BodyText"/>
      </w:pPr>
      <w:r w:rsidRPr="00EC0A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971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C0ABD" w:rsidP="00EC0ABD"/>
    <w:sectPr w:rsidSect="00EC0A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BD" w:rsidRPr="00BF2C9F" w:rsidP="00BF2C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C9F" w:rsidP="00EC0A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2C9F" w:rsidP="00EC0A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2C9F" w:rsidP="00EC0A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C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ABD" w:rsidRPr="00BF2C9F" w:rsidP="00BF2C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C9F" w:rsidRPr="002D2AF8" w:rsidP="00EC0A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AHCNRM503 Support the implementation of waterways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F2C9F" w:rsidP="00EC0A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44BF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987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0CDE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A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A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A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A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A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A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A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A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A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A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A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ABD"/>
  </w:style>
  <w:style w:type="character" w:customStyle="1" w:styleId="Heading1Char">
    <w:name w:val="Heading 1 Char"/>
    <w:basedOn w:val="DefaultParagraphFont"/>
    <w:link w:val="Heading1"/>
    <w:rsid w:val="00EC0A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A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A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A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0ABD"/>
    <w:rPr>
      <w:b/>
      <w:spacing w:val="0"/>
    </w:rPr>
  </w:style>
  <w:style w:type="paragraph" w:styleId="ListBullet2">
    <w:name w:val="List Bullet 2"/>
    <w:basedOn w:val="List2"/>
    <w:rsid w:val="00EC0A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0A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A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C0ABD"/>
    <w:rPr>
      <w:b/>
    </w:rPr>
  </w:style>
  <w:style w:type="character" w:customStyle="1" w:styleId="Heading2Char">
    <w:name w:val="Heading 2 Char"/>
    <w:basedOn w:val="DefaultParagraphFont"/>
    <w:link w:val="Heading2"/>
    <w:rsid w:val="00EC0A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A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A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A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A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A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A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A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A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A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A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A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A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A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A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A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0A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A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A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0A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A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A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A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A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A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A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A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A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0ABD"/>
    <w:rPr>
      <w:i/>
    </w:rPr>
  </w:style>
  <w:style w:type="paragraph" w:styleId="Caption">
    <w:name w:val="caption"/>
    <w:basedOn w:val="BodyText"/>
    <w:next w:val="Normal"/>
    <w:qFormat/>
    <w:rsid w:val="00EC0A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A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A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ABD"/>
  </w:style>
  <w:style w:type="paragraph" w:styleId="TableofFigures">
    <w:name w:val="table of figures"/>
    <w:basedOn w:val="Normal"/>
    <w:next w:val="Normal"/>
    <w:semiHidden/>
    <w:rsid w:val="00EC0A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A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0ABD"/>
    <w:rPr>
      <w:rFonts w:ascii="Wingdings" w:hAnsi="Wingdings"/>
    </w:rPr>
  </w:style>
  <w:style w:type="paragraph" w:customStyle="1" w:styleId="TableHeading">
    <w:name w:val="Table Heading"/>
    <w:basedOn w:val="HeadingBase"/>
    <w:rsid w:val="00EC0A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ABD"/>
    <w:rPr>
      <w:color w:val="0033CC"/>
      <w:u w:val="none"/>
    </w:rPr>
  </w:style>
  <w:style w:type="paragraph" w:customStyle="1" w:styleId="BodyTextRight">
    <w:name w:val="Body Text Right"/>
    <w:basedOn w:val="BodyText"/>
    <w:rsid w:val="00EC0A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A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A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A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A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A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ABD"/>
    <w:rPr>
      <w:sz w:val="32"/>
    </w:rPr>
  </w:style>
  <w:style w:type="paragraph" w:customStyle="1" w:styleId="HeadingProcedure">
    <w:name w:val="Heading Procedure"/>
    <w:basedOn w:val="HeadingBase"/>
    <w:next w:val="Normal"/>
    <w:rsid w:val="00EC0A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ABD"/>
    <w:pPr>
      <w:spacing w:before="60" w:after="60"/>
    </w:pPr>
  </w:style>
  <w:style w:type="paragraph" w:styleId="ListContinue">
    <w:name w:val="List Continue"/>
    <w:basedOn w:val="List"/>
    <w:rsid w:val="00EC0ABD"/>
    <w:pPr>
      <w:ind w:firstLine="0"/>
    </w:pPr>
  </w:style>
  <w:style w:type="paragraph" w:customStyle="1" w:styleId="ListNote">
    <w:name w:val="List Note"/>
    <w:basedOn w:val="List"/>
    <w:rsid w:val="00EC0A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A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A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ABD"/>
    <w:rPr>
      <w:rFonts w:ascii="Courier New" w:hAnsi="Courier New"/>
    </w:rPr>
  </w:style>
  <w:style w:type="paragraph" w:customStyle="1" w:styleId="NoteBullet">
    <w:name w:val="Note Bullet"/>
    <w:basedOn w:val="Note"/>
    <w:rsid w:val="00EC0A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A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A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A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A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0A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A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ABD"/>
    <w:rPr>
      <w:b/>
      <w:smallCaps/>
    </w:rPr>
  </w:style>
  <w:style w:type="paragraph" w:customStyle="1" w:styleId="TableListNumber">
    <w:name w:val="Table List Number"/>
    <w:basedOn w:val="ListNumber"/>
    <w:rsid w:val="00EC0A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A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ABD"/>
    <w:pPr>
      <w:numPr>
        <w:numId w:val="9"/>
      </w:numPr>
    </w:pPr>
  </w:style>
  <w:style w:type="paragraph" w:customStyle="1" w:styleId="ListAlpha2">
    <w:name w:val="List Alpha 2"/>
    <w:basedOn w:val="List2"/>
    <w:rsid w:val="00EC0ABD"/>
    <w:pPr>
      <w:numPr>
        <w:numId w:val="8"/>
      </w:numPr>
    </w:pPr>
  </w:style>
  <w:style w:type="paragraph" w:styleId="List2">
    <w:name w:val="List 2"/>
    <w:basedOn w:val="BodyText"/>
    <w:rsid w:val="00EC0A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A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A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A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A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A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0ABD"/>
    <w:pPr>
      <w:numPr>
        <w:numId w:val="4"/>
      </w:numPr>
    </w:pPr>
  </w:style>
  <w:style w:type="paragraph" w:styleId="ListContinue2">
    <w:name w:val="List Continue 2"/>
    <w:basedOn w:val="List2"/>
    <w:rsid w:val="00EC0ABD"/>
    <w:pPr>
      <w:ind w:firstLine="0"/>
    </w:pPr>
  </w:style>
  <w:style w:type="paragraph" w:styleId="ListContinue3">
    <w:name w:val="List Continue 3"/>
    <w:basedOn w:val="List3"/>
    <w:rsid w:val="00EC0ABD"/>
    <w:pPr>
      <w:ind w:left="1021" w:firstLine="0"/>
    </w:pPr>
  </w:style>
  <w:style w:type="paragraph" w:styleId="ListContinue4">
    <w:name w:val="List Continue 4"/>
    <w:basedOn w:val="List4"/>
    <w:rsid w:val="00EC0ABD"/>
    <w:pPr>
      <w:ind w:firstLine="0"/>
    </w:pPr>
  </w:style>
  <w:style w:type="paragraph" w:styleId="ListContinue5">
    <w:name w:val="List Continue 5"/>
    <w:basedOn w:val="List5"/>
    <w:rsid w:val="00EC0ABD"/>
    <w:pPr>
      <w:ind w:firstLine="0"/>
    </w:pPr>
  </w:style>
  <w:style w:type="paragraph" w:styleId="ListNumber3">
    <w:name w:val="List Number 3"/>
    <w:basedOn w:val="List3"/>
    <w:rsid w:val="00EC0ABD"/>
    <w:pPr>
      <w:numPr>
        <w:numId w:val="5"/>
      </w:numPr>
    </w:pPr>
  </w:style>
  <w:style w:type="paragraph" w:styleId="ListNumber4">
    <w:name w:val="List Number 4"/>
    <w:basedOn w:val="List4"/>
    <w:rsid w:val="00EC0ABD"/>
    <w:pPr>
      <w:numPr>
        <w:numId w:val="6"/>
      </w:numPr>
    </w:pPr>
  </w:style>
  <w:style w:type="paragraph" w:styleId="ListNumber5">
    <w:name w:val="List Number 5"/>
    <w:basedOn w:val="List5"/>
    <w:rsid w:val="00EC0ABD"/>
    <w:pPr>
      <w:numPr>
        <w:numId w:val="7"/>
      </w:numPr>
    </w:pPr>
  </w:style>
  <w:style w:type="paragraph" w:styleId="BlockText">
    <w:name w:val="Block Text"/>
    <w:basedOn w:val="Normal"/>
    <w:rsid w:val="00EC0A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A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ABD"/>
    <w:rPr>
      <w:sz w:val="16"/>
      <w:vertAlign w:val="superscript"/>
    </w:rPr>
  </w:style>
  <w:style w:type="character" w:customStyle="1" w:styleId="Symbols">
    <w:name w:val="Symbols"/>
    <w:basedOn w:val="DefaultParagraphFont"/>
    <w:rsid w:val="00EC0ABD"/>
    <w:rPr>
      <w:rFonts w:ascii="Symbol" w:hAnsi="Symbol"/>
    </w:rPr>
  </w:style>
  <w:style w:type="character" w:customStyle="1" w:styleId="MenuOptions">
    <w:name w:val="Menu Options"/>
    <w:basedOn w:val="DefaultParagraphFont"/>
    <w:rsid w:val="00EC0A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ABD"/>
    <w:rPr>
      <w:b/>
    </w:rPr>
  </w:style>
  <w:style w:type="character" w:customStyle="1" w:styleId="Underlined">
    <w:name w:val="Underlined"/>
    <w:basedOn w:val="DefaultParagraphFont"/>
    <w:rsid w:val="00EC0ABD"/>
    <w:rPr>
      <w:u w:val="single"/>
    </w:rPr>
  </w:style>
  <w:style w:type="paragraph" w:customStyle="1" w:styleId="TableBodyTextRight">
    <w:name w:val="Table Body Text Right"/>
    <w:basedOn w:val="TableBodyText"/>
    <w:rsid w:val="00EC0A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ABD"/>
    <w:rPr>
      <w:sz w:val="18"/>
    </w:rPr>
  </w:style>
  <w:style w:type="paragraph" w:customStyle="1" w:styleId="BodySmallRight">
    <w:name w:val="Body Small Right"/>
    <w:basedOn w:val="BodyTextRight"/>
    <w:rsid w:val="00EC0ABD"/>
    <w:rPr>
      <w:sz w:val="18"/>
      <w:szCs w:val="18"/>
    </w:rPr>
  </w:style>
  <w:style w:type="paragraph" w:customStyle="1" w:styleId="MarginEdition">
    <w:name w:val="Margin Edition"/>
    <w:basedOn w:val="MarginNote"/>
    <w:rsid w:val="00EC0A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ABD"/>
    <w:rPr>
      <w:sz w:val="2"/>
      <w:szCs w:val="2"/>
    </w:rPr>
  </w:style>
  <w:style w:type="character" w:customStyle="1" w:styleId="Small">
    <w:name w:val="Small"/>
    <w:basedOn w:val="DefaultParagraphFont"/>
    <w:rsid w:val="00EC0ABD"/>
    <w:rPr>
      <w:sz w:val="16"/>
    </w:rPr>
  </w:style>
  <w:style w:type="paragraph" w:customStyle="1" w:styleId="WideTable">
    <w:name w:val="Wide Table"/>
    <w:basedOn w:val="Normal"/>
    <w:rsid w:val="00EC0A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ABD"/>
  </w:style>
  <w:style w:type="paragraph" w:styleId="Quote">
    <w:name w:val="Quote"/>
    <w:basedOn w:val="Heading1"/>
    <w:link w:val="QuoteChar"/>
    <w:qFormat/>
    <w:rsid w:val="00EC0A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A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ABD"/>
    <w:pPr>
      <w:pageBreakBefore/>
    </w:pPr>
  </w:style>
  <w:style w:type="paragraph" w:customStyle="1" w:styleId="Border">
    <w:name w:val="Border"/>
    <w:basedOn w:val="Normal"/>
    <w:qFormat/>
    <w:rsid w:val="00EC0A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A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A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A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A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A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A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A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A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ABD"/>
    <w:rPr>
      <w:u w:val="single"/>
    </w:rPr>
  </w:style>
  <w:style w:type="character" w:customStyle="1" w:styleId="BoldandItalics">
    <w:name w:val="Bold and Italics"/>
    <w:qFormat/>
    <w:rsid w:val="00EC0ABD"/>
    <w:rPr>
      <w:b/>
      <w:i/>
      <w:u w:val="none"/>
    </w:rPr>
  </w:style>
  <w:style w:type="paragraph" w:styleId="BalloonText">
    <w:name w:val="Balloon Text"/>
    <w:basedOn w:val="Normal"/>
    <w:link w:val="BalloonTextChar"/>
    <w:rsid w:val="00EC0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A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A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A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A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A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AB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F2C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455</Words>
  <Characters>3274</Characters>
  <Application>Microsoft Office Word</Application>
  <DocSecurity>0</DocSecurity>
  <Lines>90</Lines>
  <Paragraphs>74</Paragraphs>
  <ScaleCrop>false</ScaleCrop>
  <Company>Author-it Software Corporation Ltd.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AHCNRM503 Support the implementation of waterways strategies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2025-02-11T06:51:00Z</dcterms:modified>
</cp:coreProperties>
</file>