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10A" w:rsidP="00A82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AHCMER301 Process customer complaints</w:t>
      </w:r>
      <w:r>
        <w:fldChar w:fldCharType="end"/>
      </w:r>
    </w:p>
    <w:p w:rsidR="00A8210A" w:rsidP="00A8210A">
      <w:pPr>
        <w:pStyle w:val="Version"/>
        <w:sectPr w:rsidSect="00B060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0CE" w:rsidP="00B060CE">
      <w:pPr>
        <w:pStyle w:val="SuperHeading"/>
      </w:pPr>
      <w:r w:rsidRPr="00B060CE">
        <w:t>AHCMER301 Process customer complaints</w:t>
      </w:r>
    </w:p>
    <w:p w:rsidR="00000000" w:rsidRPr="00B060CE" w:rsidP="00B060CE">
      <w:pPr>
        <w:pStyle w:val="Heading1"/>
      </w:pPr>
      <w:bookmarkStart w:id="1" w:name="O_881772"/>
      <w:bookmarkEnd w:id="1"/>
      <w:r w:rsidRPr="00B060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TableHeading"/>
              <w:rPr>
                <w:lang w:val="en-NZ"/>
              </w:rPr>
            </w:pPr>
            <w:r w:rsidRPr="00B060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TableHeading"/>
              <w:rPr>
                <w:lang w:val="en-NZ"/>
              </w:rPr>
            </w:pPr>
            <w:r w:rsidRPr="00B060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TableHeading"/>
              <w:rPr>
                <w:lang w:val="en-NZ"/>
              </w:rPr>
            </w:pPr>
            <w:r w:rsidRPr="00B060CE">
              <w:t>Comment</w:t>
            </w:r>
          </w:p>
        </w:tc>
      </w:tr>
      <w:tr w:rsidTr="00B0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BodyText"/>
              <w:rPr>
                <w:lang w:val="en-NZ"/>
              </w:rPr>
            </w:pPr>
            <w:r w:rsidRPr="00B060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BodyText"/>
              <w:rPr>
                <w:lang w:val="en-NZ"/>
              </w:rPr>
            </w:pPr>
            <w:r w:rsidRPr="00B060C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CE" w:rsidP="00B060CE">
            <w:pPr>
              <w:pStyle w:val="BodyText"/>
            </w:pPr>
            <w:r w:rsidRPr="00B060CE">
              <w:t>Initial release</w:t>
            </w:r>
          </w:p>
        </w:tc>
      </w:tr>
    </w:tbl>
    <w:p w:rsidR="00000000" w:rsidRPr="00B060CE" w:rsidP="00B060CE">
      <w:pPr>
        <w:pStyle w:val="BodyText"/>
      </w:pPr>
    </w:p>
    <w:p w:rsidR="00000000" w:rsidRPr="00B060CE" w:rsidP="00B060CE">
      <w:pPr>
        <w:pStyle w:val="AllowPageBreak"/>
      </w:pPr>
    </w:p>
    <w:p w:rsidR="00000000" w:rsidRPr="00B060CE" w:rsidP="00B060CE">
      <w:pPr>
        <w:pStyle w:val="Heading1"/>
      </w:pPr>
      <w:bookmarkStart w:id="2" w:name="O_881773"/>
      <w:bookmarkEnd w:id="2"/>
      <w:r w:rsidRPr="00B060CE">
        <w:t>Application</w:t>
      </w:r>
    </w:p>
    <w:p w:rsidR="00000000" w:rsidRPr="00B060CE" w:rsidP="00A8210A">
      <w:pPr>
        <w:pStyle w:val="BodyText"/>
      </w:pPr>
      <w:r w:rsidRPr="00B060CE">
        <w:t>This unit of competency describes the skills and knowledge required to handle formal and informal feedback and complaints from customers.</w:t>
      </w:r>
    </w:p>
    <w:p w:rsidR="00000000" w:rsidRPr="00B060CE" w:rsidP="00A8210A">
      <w:pPr>
        <w:pStyle w:val="BodyText"/>
      </w:pPr>
      <w:r w:rsidRPr="00B060CE">
        <w:t>All work must be carried out to comply with workplace procedures, work health and safety legislation and codes.</w:t>
      </w:r>
    </w:p>
    <w:p w:rsidR="00000000" w:rsidRPr="00B060CE" w:rsidP="00A8210A">
      <w:pPr>
        <w:pStyle w:val="BodyText"/>
      </w:pPr>
      <w:r w:rsidRPr="00B060CE">
        <w:t>This unit applies to individuals who work under broad direction and use discretion and judgement in the selection and use of available resource</w:t>
      </w:r>
      <w:r w:rsidRPr="00B060CE">
        <w:t>s.</w:t>
      </w:r>
    </w:p>
    <w:p w:rsidR="00000000" w:rsidRPr="00B060CE" w:rsidP="00A8210A">
      <w:pPr>
        <w:pStyle w:val="BodyText"/>
      </w:pPr>
      <w:r w:rsidRPr="00B060CE">
        <w:t>No occupational licensing, legislative or certification requirements are known to apply to this unit at the time of publication.</w:t>
      </w:r>
    </w:p>
    <w:p w:rsidR="00000000" w:rsidRPr="00B060CE" w:rsidP="00B060CE">
      <w:pPr>
        <w:pStyle w:val="Heading1"/>
      </w:pPr>
      <w:bookmarkStart w:id="3" w:name="O_881774"/>
      <w:bookmarkEnd w:id="3"/>
      <w:r w:rsidRPr="00B060CE">
        <w:t>Pre-requisite Unit</w:t>
      </w:r>
    </w:p>
    <w:p w:rsidR="00000000" w:rsidRPr="00B060CE" w:rsidP="00A8210A">
      <w:pPr>
        <w:pStyle w:val="BodyText"/>
      </w:pPr>
      <w:r w:rsidRPr="00B060CE">
        <w:t>Nil.</w:t>
      </w:r>
    </w:p>
    <w:p w:rsidR="00000000" w:rsidRPr="00B060CE" w:rsidP="00B060CE">
      <w:pPr>
        <w:pStyle w:val="Heading1"/>
      </w:pPr>
      <w:bookmarkStart w:id="4" w:name="O_881776"/>
      <w:bookmarkEnd w:id="4"/>
      <w:r w:rsidRPr="00B060CE">
        <w:t>Unit Sector</w:t>
      </w:r>
    </w:p>
    <w:p w:rsidR="00000000" w:rsidRPr="00B060CE" w:rsidP="00A8210A">
      <w:pPr>
        <w:pStyle w:val="BodyText"/>
      </w:pPr>
      <w:r w:rsidRPr="00B060CE">
        <w:t>Merchandising and Sales (MER)</w:t>
      </w:r>
    </w:p>
    <w:p w:rsidR="00000000" w:rsidRPr="00B060CE" w:rsidP="00B060CE">
      <w:pPr>
        <w:pStyle w:val="Heading1"/>
      </w:pPr>
      <w:bookmarkStart w:id="5" w:name="O_881777"/>
      <w:bookmarkEnd w:id="5"/>
      <w:r w:rsidRPr="00B060CE">
        <w:t>Elemen</w:t>
      </w:r>
      <w:r w:rsidRPr="00B060CE">
        <w:t>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821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TableHeading"/>
              <w:rPr>
                <w:lang w:val="en-NZ"/>
              </w:rPr>
            </w:pPr>
            <w:r w:rsidRPr="00B060C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TableHeading"/>
              <w:rPr>
                <w:lang w:val="en-NZ"/>
              </w:rPr>
            </w:pPr>
            <w:r w:rsidRPr="00B060CE">
              <w:t>Performance criteria</w:t>
            </w:r>
          </w:p>
        </w:tc>
      </w:tr>
      <w:tr w:rsidTr="00A821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BodyText"/>
              <w:rPr>
                <w:lang w:val="en-NZ"/>
              </w:rPr>
            </w:pPr>
            <w:r w:rsidRPr="00B060C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BodyText"/>
              <w:rPr>
                <w:lang w:val="en-NZ"/>
              </w:rPr>
            </w:pPr>
            <w:r w:rsidRPr="00B060CE">
              <w:t>Performance criteria describe the performance needed to demonstrate achievement of the element.</w:t>
            </w:r>
          </w:p>
        </w:tc>
      </w:tr>
      <w:tr w:rsidTr="00A821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List"/>
              <w:rPr>
                <w:lang w:val="en-NZ"/>
              </w:rPr>
            </w:pPr>
            <w:r w:rsidRPr="00B060CE">
              <w:t>1.</w:t>
            </w:r>
            <w:r w:rsidRPr="00B060CE">
              <w:tab/>
              <w:t>Respond to customer complaints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CE" w:rsidP="00B060CE">
            <w:pPr>
              <w:pStyle w:val="List"/>
            </w:pPr>
            <w:r w:rsidRPr="00B060CE">
              <w:t>1.1</w:t>
            </w:r>
            <w:r w:rsidRPr="00B060CE">
              <w:tab/>
            </w:r>
            <w:r w:rsidRPr="00B060CE">
              <w:t>Process complaints as per organisational policies and procedures</w:t>
            </w:r>
          </w:p>
          <w:p w:rsidR="00000000" w:rsidRPr="00B060CE" w:rsidP="00B060CE">
            <w:pPr>
              <w:pStyle w:val="List"/>
            </w:pPr>
            <w:r w:rsidRPr="00B060CE">
              <w:t>1.2</w:t>
            </w:r>
            <w:r w:rsidRPr="00B060CE">
              <w:tab/>
              <w:t>Obtain, document and review reports relating to the complaints</w:t>
            </w:r>
          </w:p>
          <w:p w:rsidR="00000000" w:rsidRPr="00B060CE" w:rsidP="00B060CE">
            <w:pPr>
              <w:pStyle w:val="List"/>
            </w:pPr>
            <w:r w:rsidRPr="00B060CE">
              <w:t>1.3</w:t>
            </w:r>
            <w:r w:rsidRPr="00B060CE">
              <w:tab/>
              <w:t>Make decisions taking into account applicable law, company policies and codes</w:t>
            </w:r>
          </w:p>
          <w:p w:rsidR="00000000" w:rsidRPr="00B060CE" w:rsidP="00B060CE">
            <w:pPr>
              <w:pStyle w:val="List"/>
            </w:pPr>
            <w:r w:rsidRPr="00B060CE">
              <w:t>1.4</w:t>
            </w:r>
            <w:r w:rsidRPr="00B060CE">
              <w:tab/>
              <w:t xml:space="preserve">Negotiate resolution of the complaint </w:t>
            </w:r>
            <w:r w:rsidRPr="00B060CE">
              <w:t>and seek agreement where possible</w:t>
            </w:r>
          </w:p>
          <w:p w:rsidR="00000000" w:rsidRPr="00B060CE" w:rsidP="00B060CE">
            <w:pPr>
              <w:pStyle w:val="List"/>
            </w:pPr>
            <w:r w:rsidRPr="00B060CE">
              <w:t>1.5</w:t>
            </w:r>
            <w:r w:rsidRPr="00B060CE">
              <w:tab/>
              <w:t>Maintain a register of complaints and disputes</w:t>
            </w:r>
          </w:p>
          <w:p w:rsidR="00000000" w:rsidP="00B060CE">
            <w:pPr>
              <w:pStyle w:val="List"/>
              <w:rPr>
                <w:lang w:val="en-NZ"/>
              </w:rPr>
            </w:pPr>
            <w:r w:rsidRPr="00B060CE">
              <w:t>1.6</w:t>
            </w:r>
            <w:r w:rsidRPr="00B060CE">
              <w:tab/>
              <w:t>Inform customer of outcome of investigation</w:t>
            </w:r>
          </w:p>
        </w:tc>
      </w:tr>
      <w:tr w:rsidTr="00A821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List"/>
              <w:rPr>
                <w:lang w:val="en-NZ"/>
              </w:rPr>
            </w:pPr>
            <w:r w:rsidRPr="00B060CE">
              <w:t>2.</w:t>
            </w:r>
            <w:r w:rsidRPr="00B060CE">
              <w:tab/>
              <w:t>Refer complaints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CE" w:rsidP="00B060CE">
            <w:pPr>
              <w:pStyle w:val="List"/>
            </w:pPr>
            <w:r w:rsidRPr="00B060CE">
              <w:t>2.1</w:t>
            </w:r>
            <w:r w:rsidRPr="00B060CE">
              <w:tab/>
              <w:t>Identify complaints that require referral to other personnel or external bodies</w:t>
            </w:r>
          </w:p>
          <w:p w:rsidR="00000000" w:rsidRPr="00B060CE" w:rsidP="00B060CE">
            <w:pPr>
              <w:pStyle w:val="List"/>
            </w:pPr>
            <w:r w:rsidRPr="00B060CE">
              <w:t>2.2</w:t>
            </w:r>
            <w:r w:rsidRPr="00B060CE">
              <w:tab/>
            </w:r>
            <w:r w:rsidRPr="00B060CE">
              <w:t>Make referrals to appropriate personnel for follow up</w:t>
            </w:r>
          </w:p>
          <w:p w:rsidR="00000000" w:rsidRPr="00B060CE" w:rsidP="00B060CE">
            <w:pPr>
              <w:pStyle w:val="List"/>
            </w:pPr>
            <w:r w:rsidRPr="00B060CE">
              <w:t>2.3</w:t>
            </w:r>
            <w:r w:rsidRPr="00B060CE">
              <w:tab/>
              <w:t>Forward all documents and investigation reports</w:t>
            </w:r>
          </w:p>
          <w:p w:rsidR="00000000" w:rsidRPr="00B060CE" w:rsidP="00B060CE">
            <w:pPr>
              <w:pStyle w:val="List"/>
            </w:pPr>
            <w:r w:rsidRPr="00B060CE">
              <w:t>2.4</w:t>
            </w:r>
            <w:r w:rsidRPr="00B060CE">
              <w:tab/>
              <w:t>Ensure appropriate personnel are followed up to gain prompt decisions</w:t>
            </w:r>
          </w:p>
        </w:tc>
      </w:tr>
    </w:tbl>
    <w:p w:rsidR="00000000" w:rsidRPr="00B060CE" w:rsidP="00B060CE">
      <w:pPr>
        <w:pStyle w:val="BodyText"/>
      </w:pPr>
    </w:p>
    <w:p w:rsidR="00000000" w:rsidRPr="00B060CE" w:rsidP="00B060CE">
      <w:pPr>
        <w:pStyle w:val="AllowPageBreak"/>
      </w:pPr>
    </w:p>
    <w:p w:rsidR="00000000" w:rsidRPr="00B060CE" w:rsidP="00B060CE">
      <w:pPr>
        <w:pStyle w:val="Heading1"/>
      </w:pPr>
      <w:bookmarkStart w:id="6" w:name="O_881778"/>
      <w:bookmarkEnd w:id="6"/>
      <w:r w:rsidRPr="00B060CE">
        <w:t>Foundation Skills</w:t>
      </w:r>
    </w:p>
    <w:p w:rsidR="00000000" w:rsidRPr="00B060CE" w:rsidP="00A8210A">
      <w:pPr>
        <w:pStyle w:val="BodyText"/>
      </w:pPr>
      <w:r w:rsidRPr="00B060CE">
        <w:t>Foundation Skills essential to performa</w:t>
      </w:r>
      <w:r w:rsidRPr="00B060CE">
        <w:t>nce are explicit in the performance criteria of this unit of competency.</w:t>
      </w:r>
    </w:p>
    <w:p w:rsidR="00000000" w:rsidRPr="00B060CE" w:rsidP="00B060CE">
      <w:pPr>
        <w:pStyle w:val="Heading1"/>
      </w:pPr>
      <w:bookmarkStart w:id="7" w:name="O_881779"/>
      <w:bookmarkEnd w:id="7"/>
      <w:r w:rsidRPr="00B060CE">
        <w:t>Range of Conditions</w:t>
      </w:r>
    </w:p>
    <w:p w:rsidR="00000000" w:rsidRPr="00B060CE" w:rsidP="00B060CE">
      <w:pPr>
        <w:pStyle w:val="Heading1"/>
      </w:pPr>
      <w:bookmarkStart w:id="8" w:name="O_881780"/>
      <w:bookmarkEnd w:id="8"/>
      <w:r w:rsidRPr="00B060CE">
        <w:t>Unit Mapping Information</w:t>
      </w:r>
    </w:p>
    <w:p w:rsidR="00000000" w:rsidRPr="00B060CE" w:rsidP="00A8210A">
      <w:pPr>
        <w:pStyle w:val="BodyText"/>
      </w:pPr>
      <w:r w:rsidRPr="00B060CE">
        <w:t>This unit is equivalent to AHCMER301A Process customer complaints.</w:t>
      </w:r>
    </w:p>
    <w:p w:rsidR="00000000" w:rsidRPr="00B060CE" w:rsidP="00B060CE">
      <w:pPr>
        <w:pStyle w:val="Heading1"/>
      </w:pPr>
      <w:bookmarkStart w:id="9" w:name="O_881787"/>
      <w:bookmarkEnd w:id="9"/>
      <w:r w:rsidRPr="00B060CE">
        <w:t>Links</w:t>
      </w:r>
    </w:p>
    <w:p w:rsidR="00000000" w:rsidRPr="00B060CE" w:rsidP="00A8210A">
      <w:pPr>
        <w:pStyle w:val="BodyText"/>
      </w:pPr>
      <w:r w:rsidRPr="00B060CE">
        <w:t>Companion Volum</w:t>
      </w:r>
      <w:r w:rsidRPr="00B060CE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75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60CE" w:rsidP="00A8210A">
      <w:pPr>
        <w:pStyle w:val="BodyText"/>
        <w:sectPr w:rsidSect="00B060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60CE" w:rsidP="00B060CE">
      <w:pPr>
        <w:pStyle w:val="SuperHeading"/>
      </w:pPr>
      <w:r w:rsidRPr="00B060CE">
        <w:t>Assessment Requirements for AHCMER301 Process customer complaints</w:t>
      </w:r>
    </w:p>
    <w:p w:rsidR="00000000" w:rsidRPr="00B060CE" w:rsidP="00B060CE">
      <w:pPr>
        <w:pStyle w:val="Heading1"/>
      </w:pPr>
      <w:bookmarkStart w:id="10" w:name="O_881782"/>
      <w:bookmarkEnd w:id="10"/>
      <w:r w:rsidRPr="00B060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TableHeading"/>
              <w:rPr>
                <w:lang w:val="en-NZ"/>
              </w:rPr>
            </w:pPr>
            <w:r w:rsidRPr="00B060C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TableHeading"/>
              <w:rPr>
                <w:lang w:val="en-NZ"/>
              </w:rPr>
            </w:pPr>
            <w:r w:rsidRPr="00B060C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TableHeading"/>
              <w:rPr>
                <w:lang w:val="en-NZ"/>
              </w:rPr>
            </w:pPr>
            <w:r w:rsidRPr="00B060CE">
              <w:t>Comment</w:t>
            </w:r>
          </w:p>
        </w:tc>
      </w:tr>
      <w:tr w:rsidTr="00B060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BodyText"/>
              <w:rPr>
                <w:lang w:val="en-NZ"/>
              </w:rPr>
            </w:pPr>
            <w:r w:rsidRPr="00B060C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0CE">
            <w:pPr>
              <w:pStyle w:val="BodyText"/>
              <w:rPr>
                <w:lang w:val="en-NZ"/>
              </w:rPr>
            </w:pPr>
            <w:r w:rsidRPr="00B060C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0CE" w:rsidP="00B060CE">
            <w:pPr>
              <w:pStyle w:val="BodyText"/>
            </w:pPr>
            <w:r w:rsidRPr="00B060CE">
              <w:t>Initial release</w:t>
            </w:r>
          </w:p>
        </w:tc>
      </w:tr>
    </w:tbl>
    <w:p w:rsidR="00000000" w:rsidRPr="00B060CE" w:rsidP="00B060CE">
      <w:pPr>
        <w:pStyle w:val="BodyText"/>
      </w:pPr>
    </w:p>
    <w:p w:rsidR="00000000" w:rsidRPr="00B060CE" w:rsidP="00B060CE">
      <w:pPr>
        <w:pStyle w:val="AllowPageBreak"/>
      </w:pPr>
    </w:p>
    <w:p w:rsidR="00000000" w:rsidRPr="00B060CE" w:rsidP="00B060CE">
      <w:pPr>
        <w:pStyle w:val="Heading1"/>
      </w:pPr>
      <w:bookmarkStart w:id="11" w:name="O_881783"/>
      <w:bookmarkEnd w:id="11"/>
      <w:r w:rsidRPr="00B060CE">
        <w:t>Performance Evidence</w:t>
      </w:r>
    </w:p>
    <w:p w:rsidR="00000000" w:rsidRPr="00B060CE" w:rsidP="00A8210A">
      <w:pPr>
        <w:pStyle w:val="BodyText"/>
      </w:pPr>
      <w:r w:rsidRPr="00B060C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060CE" w:rsidP="00A8210A">
      <w:pPr>
        <w:pStyle w:val="BodyText"/>
      </w:pPr>
      <w:r w:rsidRPr="00B060CE">
        <w:t>The candidate must provid</w:t>
      </w:r>
      <w:r w:rsidRPr="00B060CE">
        <w:t>e evidence that they can:</w:t>
      </w:r>
    </w:p>
    <w:p w:rsidR="00000000" w:rsidRPr="00B060CE" w:rsidP="00B060CE">
      <w:pPr>
        <w:pStyle w:val="ListBullet"/>
      </w:pPr>
      <w:r w:rsidRPr="00B060CE">
        <w:t>apply organisational or industry procedures for customer complaints</w:t>
      </w:r>
    </w:p>
    <w:p w:rsidR="00000000" w:rsidRPr="00B060CE" w:rsidP="00B060CE">
      <w:pPr>
        <w:pStyle w:val="ListBullet"/>
      </w:pPr>
      <w:r w:rsidRPr="00B060CE">
        <w:t>investigate the details of and background to the complaint and refer to other parties if required</w:t>
      </w:r>
    </w:p>
    <w:p w:rsidR="00000000" w:rsidRPr="00B060CE" w:rsidP="00B060CE">
      <w:pPr>
        <w:pStyle w:val="ListBullet"/>
      </w:pPr>
      <w:r w:rsidRPr="00B060CE">
        <w:t xml:space="preserve">negotiate an outcome with the customer if appropriate </w:t>
      </w:r>
    </w:p>
    <w:p w:rsidR="00000000" w:rsidRPr="00B060CE" w:rsidP="00B060CE">
      <w:pPr>
        <w:pStyle w:val="ListBullet"/>
      </w:pPr>
      <w:r w:rsidRPr="00B060CE">
        <w:t xml:space="preserve">process </w:t>
      </w:r>
      <w:r w:rsidRPr="00B060CE">
        <w:t xml:space="preserve">the complaint according to enterprise policy </w:t>
      </w:r>
    </w:p>
    <w:p w:rsidR="00000000" w:rsidRPr="00B060CE" w:rsidP="00B060CE">
      <w:pPr>
        <w:pStyle w:val="ListBullet"/>
      </w:pPr>
      <w:r w:rsidRPr="00B060CE">
        <w:t>recommend appropriate action arising from the complaint</w:t>
      </w:r>
    </w:p>
    <w:p w:rsidR="00000000" w:rsidRPr="00B060CE" w:rsidP="00B060CE">
      <w:pPr>
        <w:pStyle w:val="AllowPageBreak"/>
      </w:pPr>
    </w:p>
    <w:p w:rsidR="00000000" w:rsidRPr="00B060CE" w:rsidP="00B060CE">
      <w:pPr>
        <w:pStyle w:val="Heading1"/>
      </w:pPr>
      <w:bookmarkStart w:id="12" w:name="O_881784"/>
      <w:bookmarkEnd w:id="12"/>
      <w:r w:rsidRPr="00B060CE">
        <w:t>Knowledge Evidence</w:t>
      </w:r>
    </w:p>
    <w:p w:rsidR="00000000" w:rsidRPr="00B060CE" w:rsidP="00A8210A">
      <w:pPr>
        <w:pStyle w:val="BodyText"/>
      </w:pPr>
      <w:r w:rsidRPr="00B060CE">
        <w:t>The candidate must demonstrate knowledge of:</w:t>
      </w:r>
    </w:p>
    <w:p w:rsidR="00000000" w:rsidRPr="00B060CE" w:rsidP="00B060CE">
      <w:pPr>
        <w:pStyle w:val="ListBullet"/>
      </w:pPr>
      <w:r w:rsidRPr="00B060CE">
        <w:t>State/Territory/Commonwealth legislation, regulations, industry codes of practice, standards and guidelines</w:t>
      </w:r>
    </w:p>
    <w:p w:rsidR="00000000" w:rsidRPr="00B060CE" w:rsidP="00B060CE">
      <w:pPr>
        <w:pStyle w:val="ListBullet"/>
      </w:pPr>
      <w:r w:rsidRPr="00B060CE">
        <w:t>organisational policy and procedures for dealing with complaints</w:t>
      </w:r>
    </w:p>
    <w:p w:rsidR="00000000" w:rsidRPr="00B060CE" w:rsidP="00B060CE">
      <w:pPr>
        <w:pStyle w:val="ListBullet"/>
      </w:pPr>
      <w:r w:rsidRPr="00B060CE">
        <w:t>strategies for dealing with customer complaints</w:t>
      </w:r>
    </w:p>
    <w:p w:rsidR="00000000" w:rsidRPr="00B060CE" w:rsidP="00B060CE">
      <w:pPr>
        <w:pStyle w:val="ListBullet"/>
      </w:pPr>
      <w:r w:rsidRPr="00B060CE">
        <w:t>negotiation and communication strat</w:t>
      </w:r>
      <w:r w:rsidRPr="00B060CE">
        <w:t>egies</w:t>
      </w:r>
    </w:p>
    <w:p w:rsidR="00000000" w:rsidRPr="00B060CE" w:rsidP="00B060CE">
      <w:pPr>
        <w:pStyle w:val="ListBullet"/>
      </w:pPr>
      <w:r w:rsidRPr="00B060CE">
        <w:t>the individual</w:t>
      </w:r>
      <w:r>
        <w:t>’</w:t>
      </w:r>
      <w:r w:rsidRPr="00B060CE">
        <w:t>s role in processing customer complaints</w:t>
      </w:r>
    </w:p>
    <w:p w:rsidR="00000000" w:rsidRPr="00B060CE" w:rsidP="00B060CE">
      <w:pPr>
        <w:pStyle w:val="AllowPageBreak"/>
      </w:pPr>
    </w:p>
    <w:p w:rsidR="00000000" w:rsidRPr="00B060CE" w:rsidP="00B060CE">
      <w:pPr>
        <w:pStyle w:val="Heading1"/>
      </w:pPr>
      <w:bookmarkStart w:id="13" w:name="O_881785"/>
      <w:bookmarkEnd w:id="13"/>
      <w:r w:rsidRPr="00B060CE">
        <w:t>Assessment Conditions</w:t>
      </w:r>
    </w:p>
    <w:p w:rsidR="00000000" w:rsidRPr="00B060CE" w:rsidP="00A8210A">
      <w:pPr>
        <w:pStyle w:val="BodyText"/>
      </w:pPr>
      <w:r w:rsidRPr="00B060CE">
        <w:t>Competency is to be assessed in the workplace or simulated environment that accurately reflects performance in a real workplace setting.</w:t>
      </w:r>
    </w:p>
    <w:p w:rsidR="00000000" w:rsidRPr="00B060CE" w:rsidP="00A8210A">
      <w:pPr>
        <w:pStyle w:val="BodyText"/>
      </w:pPr>
      <w:r w:rsidRPr="00B060CE">
        <w:t>Assessors must sa</w:t>
      </w:r>
      <w:r w:rsidRPr="00B060CE">
        <w:t>tisfy current standards for RTOs.</w:t>
      </w:r>
    </w:p>
    <w:p w:rsidR="00000000" w:rsidRPr="00B060CE" w:rsidP="00B060CE">
      <w:pPr>
        <w:pStyle w:val="Heading1"/>
      </w:pPr>
      <w:bookmarkStart w:id="14" w:name="O_881788"/>
      <w:bookmarkEnd w:id="14"/>
      <w:r w:rsidRPr="00B060CE">
        <w:t>Links</w:t>
      </w:r>
    </w:p>
    <w:p w:rsidR="00000000" w:rsidRPr="00B060CE" w:rsidP="00A8210A">
      <w:pPr>
        <w:pStyle w:val="BodyText"/>
      </w:pPr>
      <w:r w:rsidRPr="00B060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75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60CE" w:rsidP="00B060CE"/>
    <w:sectPr w:rsidSect="00B060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CE" w:rsidRPr="00A8210A" w:rsidP="00A82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0A" w:rsidP="00B06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10A" w:rsidP="00B06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210A" w:rsidP="00B060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CE" w:rsidP="00B060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210A">
      <w:t>Approved</w:t>
    </w:r>
    <w:r w:rsidR="00A821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21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210A">
      <w:rPr>
        <w:noProof/>
      </w:rPr>
      <w:t>4</w:t>
    </w:r>
    <w:r>
      <w:rPr>
        <w:noProof/>
      </w:rPr>
      <w:fldChar w:fldCharType="end"/>
    </w:r>
  </w:p>
  <w:p w:rsidR="00B060CE" w:rsidP="00B060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21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210A">
      <w:t>Skills Insight</w:t>
    </w:r>
    <w:r w:rsidR="00A8210A">
      <w:fldChar w:fldCharType="end"/>
    </w:r>
  </w:p>
  <w:p w:rsidR="00B060CE" w:rsidP="00B060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0CE" w:rsidRPr="00A8210A" w:rsidP="00A821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10A" w:rsidRPr="002D2AF8" w:rsidP="00B06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AHCMER301 Process customer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210A" w:rsidP="00B060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0CE" w:rsidRPr="002D2AF8" w:rsidP="00B060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210A">
      <w:t>AHCMER301 Process customer complaints</w:t>
    </w:r>
    <w:r w:rsidR="00A821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210A">
      <w:rPr>
        <w:noProof/>
      </w:rPr>
      <w:t>2 March 2025</w:t>
    </w:r>
    <w:r>
      <w:fldChar w:fldCharType="end"/>
    </w:r>
  </w:p>
  <w:p w:rsidR="00B060CE" w:rsidP="00B060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96D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0A9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0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0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0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0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0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0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0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0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0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0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0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0CE"/>
  </w:style>
  <w:style w:type="character" w:customStyle="1" w:styleId="Heading1Char">
    <w:name w:val="Heading 1 Char"/>
    <w:basedOn w:val="DefaultParagraphFont"/>
    <w:link w:val="Heading1"/>
    <w:rsid w:val="00B060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0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0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60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0C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60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60C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60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0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0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0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0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0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0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0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0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0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0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0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0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0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0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0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0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60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0CE"/>
    <w:rPr>
      <w:b/>
      <w:spacing w:val="0"/>
    </w:rPr>
  </w:style>
  <w:style w:type="paragraph" w:customStyle="1" w:styleId="SuperTitle">
    <w:name w:val="SuperTitle"/>
    <w:basedOn w:val="Title"/>
    <w:rsid w:val="00B060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0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0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0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0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0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0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0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0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0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0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0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0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0CE"/>
    <w:rPr>
      <w:i/>
    </w:rPr>
  </w:style>
  <w:style w:type="paragraph" w:styleId="Caption">
    <w:name w:val="caption"/>
    <w:basedOn w:val="BodyText"/>
    <w:next w:val="Normal"/>
    <w:qFormat/>
    <w:rsid w:val="00B060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0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0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0CE"/>
  </w:style>
  <w:style w:type="paragraph" w:styleId="TableofFigures">
    <w:name w:val="table of figures"/>
    <w:basedOn w:val="Normal"/>
    <w:next w:val="Normal"/>
    <w:semiHidden/>
    <w:rsid w:val="00B060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0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0CE"/>
    <w:rPr>
      <w:rFonts w:ascii="Wingdings" w:hAnsi="Wingdings"/>
    </w:rPr>
  </w:style>
  <w:style w:type="character" w:customStyle="1" w:styleId="HotSpot">
    <w:name w:val="HotSpot"/>
    <w:rsid w:val="00B060CE"/>
    <w:rPr>
      <w:color w:val="0033CC"/>
      <w:u w:val="none"/>
    </w:rPr>
  </w:style>
  <w:style w:type="paragraph" w:customStyle="1" w:styleId="BodyTextRight">
    <w:name w:val="Body Text Right"/>
    <w:basedOn w:val="BodyText"/>
    <w:rsid w:val="00B060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0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0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0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0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0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0CE"/>
    <w:rPr>
      <w:sz w:val="32"/>
    </w:rPr>
  </w:style>
  <w:style w:type="paragraph" w:customStyle="1" w:styleId="HeadingProcedure">
    <w:name w:val="Heading Procedure"/>
    <w:basedOn w:val="HeadingBase"/>
    <w:next w:val="Normal"/>
    <w:rsid w:val="00B060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0CE"/>
    <w:pPr>
      <w:spacing w:before="60" w:after="60"/>
    </w:pPr>
  </w:style>
  <w:style w:type="paragraph" w:styleId="ListContinue">
    <w:name w:val="List Continue"/>
    <w:basedOn w:val="List"/>
    <w:rsid w:val="00B060CE"/>
    <w:pPr>
      <w:ind w:firstLine="0"/>
    </w:pPr>
  </w:style>
  <w:style w:type="paragraph" w:customStyle="1" w:styleId="ListNote">
    <w:name w:val="List Note"/>
    <w:basedOn w:val="List"/>
    <w:rsid w:val="00B060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0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0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0CE"/>
    <w:rPr>
      <w:rFonts w:ascii="Courier New" w:hAnsi="Courier New"/>
    </w:rPr>
  </w:style>
  <w:style w:type="paragraph" w:customStyle="1" w:styleId="NoteBullet">
    <w:name w:val="Note Bullet"/>
    <w:basedOn w:val="Note"/>
    <w:rsid w:val="00B060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0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0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0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0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0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0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0CE"/>
    <w:rPr>
      <w:b/>
      <w:smallCaps/>
    </w:rPr>
  </w:style>
  <w:style w:type="paragraph" w:customStyle="1" w:styleId="TableListNumber">
    <w:name w:val="Table List Number"/>
    <w:basedOn w:val="ListNumber"/>
    <w:rsid w:val="00B060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0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0CE"/>
    <w:pPr>
      <w:numPr>
        <w:numId w:val="8"/>
      </w:numPr>
    </w:pPr>
  </w:style>
  <w:style w:type="paragraph" w:customStyle="1" w:styleId="ListAlpha2">
    <w:name w:val="List Alpha 2"/>
    <w:basedOn w:val="List2"/>
    <w:rsid w:val="00B060CE"/>
    <w:pPr>
      <w:numPr>
        <w:numId w:val="7"/>
      </w:numPr>
    </w:pPr>
  </w:style>
  <w:style w:type="paragraph" w:styleId="List2">
    <w:name w:val="List 2"/>
    <w:basedOn w:val="BodyText"/>
    <w:rsid w:val="00B060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0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0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0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0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0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0CE"/>
    <w:pPr>
      <w:numPr>
        <w:numId w:val="3"/>
      </w:numPr>
    </w:pPr>
  </w:style>
  <w:style w:type="paragraph" w:styleId="ListContinue2">
    <w:name w:val="List Continue 2"/>
    <w:basedOn w:val="List2"/>
    <w:rsid w:val="00B060CE"/>
    <w:pPr>
      <w:ind w:firstLine="0"/>
    </w:pPr>
  </w:style>
  <w:style w:type="paragraph" w:styleId="ListContinue3">
    <w:name w:val="List Continue 3"/>
    <w:basedOn w:val="List3"/>
    <w:rsid w:val="00B060CE"/>
    <w:pPr>
      <w:ind w:left="1021" w:firstLine="0"/>
    </w:pPr>
  </w:style>
  <w:style w:type="paragraph" w:styleId="ListContinue4">
    <w:name w:val="List Continue 4"/>
    <w:basedOn w:val="List4"/>
    <w:rsid w:val="00B060CE"/>
    <w:pPr>
      <w:ind w:firstLine="0"/>
    </w:pPr>
  </w:style>
  <w:style w:type="paragraph" w:styleId="ListContinue5">
    <w:name w:val="List Continue 5"/>
    <w:basedOn w:val="List5"/>
    <w:rsid w:val="00B060CE"/>
    <w:pPr>
      <w:ind w:firstLine="0"/>
    </w:pPr>
  </w:style>
  <w:style w:type="paragraph" w:styleId="ListNumber3">
    <w:name w:val="List Number 3"/>
    <w:basedOn w:val="List3"/>
    <w:rsid w:val="00B060CE"/>
    <w:pPr>
      <w:numPr>
        <w:numId w:val="4"/>
      </w:numPr>
    </w:pPr>
  </w:style>
  <w:style w:type="paragraph" w:styleId="ListNumber4">
    <w:name w:val="List Number 4"/>
    <w:basedOn w:val="List4"/>
    <w:rsid w:val="00B060CE"/>
    <w:pPr>
      <w:numPr>
        <w:numId w:val="5"/>
      </w:numPr>
    </w:pPr>
  </w:style>
  <w:style w:type="paragraph" w:styleId="ListNumber5">
    <w:name w:val="List Number 5"/>
    <w:basedOn w:val="List5"/>
    <w:rsid w:val="00B060CE"/>
    <w:pPr>
      <w:numPr>
        <w:numId w:val="6"/>
      </w:numPr>
    </w:pPr>
  </w:style>
  <w:style w:type="paragraph" w:styleId="BlockText">
    <w:name w:val="Block Text"/>
    <w:basedOn w:val="Normal"/>
    <w:rsid w:val="00B060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0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0CE"/>
    <w:rPr>
      <w:sz w:val="16"/>
      <w:vertAlign w:val="superscript"/>
    </w:rPr>
  </w:style>
  <w:style w:type="character" w:customStyle="1" w:styleId="Symbols">
    <w:name w:val="Symbols"/>
    <w:basedOn w:val="DefaultParagraphFont"/>
    <w:rsid w:val="00B060CE"/>
    <w:rPr>
      <w:rFonts w:ascii="Symbol" w:hAnsi="Symbol"/>
    </w:rPr>
  </w:style>
  <w:style w:type="character" w:customStyle="1" w:styleId="MenuOptions">
    <w:name w:val="Menu Options"/>
    <w:basedOn w:val="DefaultParagraphFont"/>
    <w:rsid w:val="00B060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0CE"/>
    <w:rPr>
      <w:b/>
    </w:rPr>
  </w:style>
  <w:style w:type="character" w:customStyle="1" w:styleId="Underlined">
    <w:name w:val="Underlined"/>
    <w:basedOn w:val="DefaultParagraphFont"/>
    <w:rsid w:val="00B060CE"/>
    <w:rPr>
      <w:u w:val="single"/>
    </w:rPr>
  </w:style>
  <w:style w:type="paragraph" w:customStyle="1" w:styleId="TableBodyTextRight">
    <w:name w:val="Table Body Text Right"/>
    <w:basedOn w:val="TableBodyText"/>
    <w:rsid w:val="00B060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0CE"/>
    <w:rPr>
      <w:sz w:val="18"/>
    </w:rPr>
  </w:style>
  <w:style w:type="paragraph" w:customStyle="1" w:styleId="BodySmallRight">
    <w:name w:val="Body Small Right"/>
    <w:basedOn w:val="BodyTextRight"/>
    <w:rsid w:val="00B060CE"/>
    <w:rPr>
      <w:sz w:val="18"/>
      <w:szCs w:val="18"/>
    </w:rPr>
  </w:style>
  <w:style w:type="paragraph" w:customStyle="1" w:styleId="MarginEdition">
    <w:name w:val="Margin Edition"/>
    <w:basedOn w:val="MarginNote"/>
    <w:rsid w:val="00B060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0CE"/>
    <w:rPr>
      <w:sz w:val="2"/>
      <w:szCs w:val="2"/>
    </w:rPr>
  </w:style>
  <w:style w:type="character" w:customStyle="1" w:styleId="Small">
    <w:name w:val="Small"/>
    <w:basedOn w:val="DefaultParagraphFont"/>
    <w:rsid w:val="00B060CE"/>
    <w:rPr>
      <w:sz w:val="16"/>
    </w:rPr>
  </w:style>
  <w:style w:type="paragraph" w:customStyle="1" w:styleId="WideTable">
    <w:name w:val="Wide Table"/>
    <w:basedOn w:val="Normal"/>
    <w:rsid w:val="00B060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0CE"/>
  </w:style>
  <w:style w:type="paragraph" w:styleId="Quote">
    <w:name w:val="Quote"/>
    <w:basedOn w:val="Heading1"/>
    <w:link w:val="QuoteChar"/>
    <w:qFormat/>
    <w:rsid w:val="00B060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0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0CE"/>
    <w:pPr>
      <w:pageBreakBefore/>
    </w:pPr>
  </w:style>
  <w:style w:type="paragraph" w:customStyle="1" w:styleId="Border">
    <w:name w:val="Border"/>
    <w:basedOn w:val="Normal"/>
    <w:qFormat/>
    <w:rsid w:val="00B060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0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0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0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0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0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0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0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0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0CE"/>
    <w:rPr>
      <w:u w:val="single"/>
    </w:rPr>
  </w:style>
  <w:style w:type="character" w:customStyle="1" w:styleId="BoldandItalics">
    <w:name w:val="Bold and Italics"/>
    <w:qFormat/>
    <w:rsid w:val="00B060CE"/>
    <w:rPr>
      <w:b/>
      <w:i/>
      <w:u w:val="none"/>
    </w:rPr>
  </w:style>
  <w:style w:type="paragraph" w:styleId="BalloonText">
    <w:name w:val="Balloon Text"/>
    <w:basedOn w:val="Normal"/>
    <w:link w:val="BalloonTextChar"/>
    <w:rsid w:val="00B06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0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0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0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0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0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0CE"/>
    <w:pPr>
      <w:spacing w:before="0" w:after="0"/>
    </w:pPr>
  </w:style>
  <w:style w:type="paragraph" w:customStyle="1" w:styleId="BodyTextBold">
    <w:name w:val="Body Text Bold"/>
    <w:basedOn w:val="BodyText"/>
    <w:qFormat/>
    <w:rsid w:val="00B060CE"/>
    <w:rPr>
      <w:b/>
    </w:rPr>
  </w:style>
  <w:style w:type="character" w:styleId="Hyperlink">
    <w:name w:val="Hyperlink"/>
    <w:basedOn w:val="DefaultParagraphFont"/>
    <w:uiPriority w:val="99"/>
    <w:unhideWhenUsed/>
    <w:rsid w:val="00A821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3369</Characters>
  <Application>Microsoft Office Word</Application>
  <DocSecurity>0</DocSecurity>
  <Lines>124</Lines>
  <Paragraphs>86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AHCMER301 Process customer complaints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