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878" w:rsidP="00901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AHCMDC302 Apply regulatory and quality requirements to the production of medicinal cannabis</w:t>
      </w:r>
      <w:r>
        <w:fldChar w:fldCharType="end"/>
      </w:r>
    </w:p>
    <w:p w:rsidR="00901878" w:rsidP="00901878">
      <w:pPr>
        <w:pStyle w:val="Version"/>
        <w:sectPr w:rsidSect="00715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CB2" w:rsidP="00715CB2">
      <w:pPr>
        <w:pStyle w:val="SuperHeading"/>
      </w:pPr>
      <w:r w:rsidRPr="00715CB2">
        <w:t>Assessment Requirements for AHCMDC302 Apply regulatory and quality requirements to the production of medicinal cannabis</w:t>
      </w:r>
    </w:p>
    <w:p w:rsidR="00000000" w:rsidRPr="00715CB2" w:rsidP="00715CB2">
      <w:pPr>
        <w:pStyle w:val="Heading1"/>
      </w:pPr>
      <w:bookmarkStart w:id="1" w:name="O_1155591"/>
      <w:bookmarkEnd w:id="1"/>
      <w:r w:rsidRPr="00715C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5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B2">
            <w:pPr>
              <w:pStyle w:val="BodyTextBold"/>
              <w:rPr>
                <w:lang w:val="en-NZ"/>
              </w:rPr>
            </w:pPr>
            <w:r w:rsidRPr="00715C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B2">
            <w:pPr>
              <w:pStyle w:val="BodyTextBold"/>
              <w:rPr>
                <w:lang w:val="en-NZ"/>
              </w:rPr>
            </w:pPr>
            <w:r w:rsidRPr="00715CB2">
              <w:t>Comments</w:t>
            </w:r>
          </w:p>
        </w:tc>
      </w:tr>
      <w:tr w:rsidTr="00715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B2">
            <w:pPr>
              <w:pStyle w:val="BodyText"/>
              <w:rPr>
                <w:lang w:val="en-NZ"/>
              </w:rPr>
            </w:pPr>
            <w:r w:rsidRPr="00715C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B2" w:rsidP="00715CB2">
            <w:pPr>
              <w:pStyle w:val="BodyText"/>
            </w:pPr>
            <w:r w:rsidRPr="00715CB2">
              <w:t>This version released with AHC Agriculture, Horticulture and Conservation and Land Management Training Package Version 6.0.</w:t>
            </w:r>
          </w:p>
        </w:tc>
      </w:tr>
    </w:tbl>
    <w:p w:rsidR="00000000" w:rsidRPr="00715CB2" w:rsidP="00715CB2">
      <w:pPr>
        <w:pStyle w:val="BodyText"/>
      </w:pPr>
    </w:p>
    <w:p w:rsidR="00000000" w:rsidRPr="00715CB2" w:rsidP="00715CB2">
      <w:pPr>
        <w:pStyle w:val="AllowPageBreak"/>
      </w:pPr>
    </w:p>
    <w:p w:rsidR="00000000" w:rsidRPr="00715CB2" w:rsidP="00715CB2">
      <w:pPr>
        <w:pStyle w:val="Heading1"/>
      </w:pPr>
      <w:bookmarkStart w:id="2" w:name="O_1155592"/>
      <w:bookmarkEnd w:id="2"/>
      <w:r w:rsidRPr="00715CB2">
        <w:t>Performance Evidence</w:t>
      </w:r>
    </w:p>
    <w:p w:rsidR="00000000" w:rsidRPr="00715CB2" w:rsidP="00901878">
      <w:pPr>
        <w:pStyle w:val="BodyText"/>
      </w:pPr>
      <w:r w:rsidRPr="00715CB2">
        <w:t>An individual demonstrating competency must satisfy all of the elements and performance cr</w:t>
      </w:r>
      <w:r w:rsidRPr="00715CB2">
        <w:t xml:space="preserve">iteria in this unit. </w:t>
      </w:r>
    </w:p>
    <w:p w:rsidR="00000000" w:rsidRPr="00715CB2" w:rsidP="00901878">
      <w:pPr>
        <w:pStyle w:val="BodyText"/>
      </w:pPr>
      <w:r w:rsidRPr="00715CB2">
        <w:t>There must be evidence that the individual has effectively monitored the production of medicinal cannabis to ensure compliance with legislation and quality requirements, including:</w:t>
      </w:r>
    </w:p>
    <w:p w:rsidR="00000000" w:rsidRPr="00715CB2" w:rsidP="00715CB2">
      <w:pPr>
        <w:pStyle w:val="ListBullet"/>
      </w:pPr>
      <w:r w:rsidRPr="00715CB2">
        <w:t>identified and applied legal and regulatory requirem</w:t>
      </w:r>
      <w:r w:rsidRPr="00715CB2">
        <w:t>ents and elements of quality standards that apply to production processes in own area of responsibility</w:t>
      </w:r>
    </w:p>
    <w:p w:rsidR="00000000" w:rsidRPr="00715CB2" w:rsidP="00715CB2">
      <w:pPr>
        <w:pStyle w:val="ListBullet"/>
      </w:pPr>
      <w:r w:rsidRPr="00715CB2">
        <w:t>assessed own work area for critical control points, safety and risks</w:t>
      </w:r>
    </w:p>
    <w:p w:rsidR="00000000" w:rsidRPr="00715CB2" w:rsidP="00715CB2">
      <w:pPr>
        <w:pStyle w:val="ListBullet"/>
      </w:pPr>
      <w:r w:rsidRPr="00715CB2">
        <w:t xml:space="preserve">completed accurate records for production processes in own area of responsibility, including records that cover all of the following on at least </w:t>
      </w:r>
      <w:r w:rsidRPr="00715CB2">
        <w:rPr>
          <w:rStyle w:val="SpecialBold"/>
        </w:rPr>
        <w:t>three</w:t>
      </w:r>
      <w:r w:rsidRPr="00715CB2">
        <w:t xml:space="preserve"> occasions:</w:t>
      </w:r>
    </w:p>
    <w:p w:rsidR="00000000" w:rsidRPr="00715CB2" w:rsidP="00715CB2">
      <w:pPr>
        <w:pStyle w:val="ListBullet2"/>
      </w:pPr>
      <w:r w:rsidRPr="00715CB2">
        <w:t>cultivation processes</w:t>
      </w:r>
    </w:p>
    <w:p w:rsidR="00000000" w:rsidRPr="00715CB2" w:rsidP="00715CB2">
      <w:pPr>
        <w:pStyle w:val="ListBullet2"/>
      </w:pPr>
      <w:r w:rsidRPr="00715CB2">
        <w:t>traceability</w:t>
      </w:r>
    </w:p>
    <w:p w:rsidR="00000000" w:rsidRPr="00715CB2" w:rsidP="00715CB2">
      <w:pPr>
        <w:pStyle w:val="ListBullet2"/>
      </w:pPr>
      <w:r w:rsidRPr="00715CB2">
        <w:t xml:space="preserve">hygiene and sanitation </w:t>
      </w:r>
    </w:p>
    <w:p w:rsidR="00000000" w:rsidRPr="00715CB2" w:rsidP="00715CB2">
      <w:pPr>
        <w:pStyle w:val="ListBullet2"/>
      </w:pPr>
      <w:r w:rsidRPr="00715CB2">
        <w:t>health and safety</w:t>
      </w:r>
    </w:p>
    <w:p w:rsidR="00000000" w:rsidRPr="00715CB2" w:rsidP="00715CB2">
      <w:pPr>
        <w:pStyle w:val="ListBullet2"/>
      </w:pPr>
      <w:r w:rsidRPr="00715CB2">
        <w:t>monitoring, samp</w:t>
      </w:r>
      <w:r w:rsidRPr="00715CB2">
        <w:t>ling</w:t>
      </w:r>
      <w:r w:rsidRPr="00715CB2">
        <w:rPr>
          <w:rStyle w:val="SpecialBold"/>
        </w:rPr>
        <w:t xml:space="preserve"> </w:t>
      </w:r>
      <w:r w:rsidRPr="00715CB2">
        <w:t>and control</w:t>
      </w:r>
    </w:p>
    <w:p w:rsidR="00000000" w:rsidRPr="00715CB2" w:rsidP="00715CB2">
      <w:pPr>
        <w:pStyle w:val="ListBullet2"/>
      </w:pPr>
      <w:r w:rsidRPr="00715CB2">
        <w:t>identified and reported instances of deviation, potential problems or non-compliance.</w:t>
      </w:r>
    </w:p>
    <w:p w:rsidR="00000000" w:rsidRPr="00715CB2" w:rsidP="00715CB2">
      <w:pPr>
        <w:pStyle w:val="AllowPageBreak"/>
      </w:pPr>
    </w:p>
    <w:p w:rsidR="00000000" w:rsidRPr="00715CB2" w:rsidP="00715CB2">
      <w:pPr>
        <w:pStyle w:val="Heading1"/>
      </w:pPr>
      <w:bookmarkStart w:id="3" w:name="O_1155593"/>
      <w:bookmarkEnd w:id="3"/>
      <w:r w:rsidRPr="00715CB2">
        <w:t>Knowledge Evidence</w:t>
      </w:r>
    </w:p>
    <w:p w:rsidR="00000000" w:rsidRPr="00715CB2" w:rsidP="00901878">
      <w:pPr>
        <w:pStyle w:val="BodyText"/>
      </w:pPr>
      <w:r w:rsidRPr="00715CB2">
        <w:t xml:space="preserve">An individual must be able to demonstrate the knowledge required to perform the tasks outlined in the elements and </w:t>
      </w:r>
      <w:r w:rsidRPr="00715CB2">
        <w:t>performance criteria of this unit. This includes knowledge of:</w:t>
      </w:r>
    </w:p>
    <w:p w:rsidR="00000000" w:rsidRPr="00715CB2" w:rsidP="00715CB2">
      <w:pPr>
        <w:pStyle w:val="ListBullet"/>
      </w:pPr>
      <w:r w:rsidRPr="00715CB2">
        <w:t>national, state and territory legislation, regulations and standards relevant to the production of medicinal cannabis</w:t>
      </w:r>
    </w:p>
    <w:p w:rsidR="00000000" w:rsidRPr="00715CB2" w:rsidP="00715CB2">
      <w:pPr>
        <w:pStyle w:val="ListBullet"/>
      </w:pPr>
      <w:r w:rsidRPr="00715CB2">
        <w:t>legislative and regulatory responsibilities required of licensed cultivators and manufacturers of medicinal cannabis</w:t>
      </w:r>
    </w:p>
    <w:p w:rsidR="00000000" w:rsidRPr="00715CB2" w:rsidP="00715CB2">
      <w:pPr>
        <w:pStyle w:val="ListBullet"/>
      </w:pPr>
      <w:r w:rsidRPr="00715CB2">
        <w:t>roles and functions of commonwealth government authorities responsible for administering the legislation, including record requirements</w:t>
      </w:r>
    </w:p>
    <w:p w:rsidR="00000000" w:rsidRPr="00715CB2" w:rsidP="00715CB2">
      <w:pPr>
        <w:pStyle w:val="ListBullet"/>
      </w:pPr>
      <w:r w:rsidRPr="00715CB2">
        <w:t>Goo</w:t>
      </w:r>
      <w:r w:rsidRPr="00715CB2">
        <w:t>d Practices Standards and organisation quality systems relevant to the production of medicinal cannabis, including:</w:t>
      </w:r>
    </w:p>
    <w:p w:rsidR="00000000" w:rsidRPr="00715CB2" w:rsidP="00715CB2">
      <w:pPr>
        <w:pStyle w:val="ListBullet2"/>
      </w:pPr>
      <w:r w:rsidRPr="00715CB2">
        <w:t>Good Agricultural and Collection Practices (GACP) in relation to cultivation and harvesting of plants, and quality and consistency of produ</w:t>
      </w:r>
      <w:r w:rsidRPr="00715CB2">
        <w:t>cts</w:t>
      </w:r>
    </w:p>
    <w:p w:rsidR="00000000" w:rsidRPr="00715CB2" w:rsidP="00715CB2">
      <w:pPr>
        <w:pStyle w:val="ListBullet2"/>
      </w:pPr>
      <w:r w:rsidRPr="00715CB2">
        <w:t>Good Manufacturing Practices (GMP) in relation to pre-processing and quality of products</w:t>
      </w:r>
    </w:p>
    <w:p w:rsidR="00000000" w:rsidRPr="00715CB2" w:rsidP="00715CB2">
      <w:pPr>
        <w:pStyle w:val="ListBullet"/>
      </w:pPr>
      <w:r w:rsidRPr="00715CB2">
        <w:t>principles of GACP and GMP in relation to:</w:t>
      </w:r>
    </w:p>
    <w:p w:rsidR="00000000" w:rsidRPr="00715CB2" w:rsidP="00715CB2">
      <w:pPr>
        <w:pStyle w:val="ListBullet2"/>
      </w:pPr>
      <w:r w:rsidRPr="00715CB2">
        <w:t>cultivation and production processes</w:t>
      </w:r>
    </w:p>
    <w:p w:rsidR="00000000" w:rsidRPr="00715CB2" w:rsidP="00715CB2">
      <w:pPr>
        <w:pStyle w:val="ListBullet2"/>
      </w:pPr>
      <w:r w:rsidRPr="00715CB2">
        <w:t>traceability, including validation of inputs</w:t>
      </w:r>
    </w:p>
    <w:p w:rsidR="00000000" w:rsidRPr="00715CB2" w:rsidP="00715CB2">
      <w:pPr>
        <w:pStyle w:val="ListBullet2"/>
      </w:pPr>
      <w:r w:rsidRPr="00715CB2">
        <w:t xml:space="preserve">hygiene and sanitation </w:t>
      </w:r>
    </w:p>
    <w:p w:rsidR="00000000" w:rsidRPr="00715CB2" w:rsidP="00715CB2">
      <w:pPr>
        <w:pStyle w:val="ListBullet2"/>
      </w:pPr>
      <w:r w:rsidRPr="00715CB2">
        <w:t>health and s</w:t>
      </w:r>
      <w:r w:rsidRPr="00715CB2">
        <w:t>afety</w:t>
      </w:r>
    </w:p>
    <w:p w:rsidR="00000000" w:rsidRPr="00715CB2" w:rsidP="00715CB2">
      <w:pPr>
        <w:pStyle w:val="ListBullet2"/>
      </w:pPr>
      <w:r w:rsidRPr="00715CB2">
        <w:t>monitoring, sampling</w:t>
      </w:r>
      <w:r w:rsidRPr="00715CB2">
        <w:rPr>
          <w:rStyle w:val="SpecialBold"/>
        </w:rPr>
        <w:t xml:space="preserve"> </w:t>
      </w:r>
      <w:r w:rsidRPr="00715CB2">
        <w:t>and control</w:t>
      </w:r>
    </w:p>
    <w:p w:rsidR="00000000" w:rsidRPr="00715CB2" w:rsidP="00715CB2">
      <w:pPr>
        <w:pStyle w:val="ListBullet2"/>
      </w:pPr>
      <w:r w:rsidRPr="00715CB2">
        <w:t>documentation processes</w:t>
      </w:r>
    </w:p>
    <w:p w:rsidR="00000000" w:rsidRPr="00715CB2" w:rsidP="00715CB2">
      <w:pPr>
        <w:pStyle w:val="ListBullet"/>
      </w:pPr>
      <w:r w:rsidRPr="00715CB2">
        <w:t>organisational record-keeping requirements.</w:t>
      </w:r>
    </w:p>
    <w:p w:rsidR="00000000" w:rsidRPr="00715CB2" w:rsidP="00715CB2">
      <w:pPr>
        <w:pStyle w:val="AllowPageBreak"/>
      </w:pPr>
    </w:p>
    <w:p w:rsidR="00000000" w:rsidRPr="00715CB2" w:rsidP="00715CB2">
      <w:pPr>
        <w:pStyle w:val="Heading1"/>
      </w:pPr>
      <w:bookmarkStart w:id="4" w:name="O_1155594"/>
      <w:bookmarkEnd w:id="4"/>
      <w:r w:rsidRPr="00715CB2">
        <w:t>Assessment Conditions</w:t>
      </w:r>
    </w:p>
    <w:p w:rsidR="00000000" w:rsidRPr="00715CB2" w:rsidP="00901878">
      <w:pPr>
        <w:pStyle w:val="BodyText"/>
      </w:pPr>
      <w:r w:rsidRPr="00715CB2">
        <w:t>Assessment of the skills in this unit of competency must take place under the following conditions:</w:t>
      </w:r>
    </w:p>
    <w:p w:rsidR="00000000" w:rsidRPr="00715CB2" w:rsidP="00715CB2">
      <w:pPr>
        <w:pStyle w:val="ListBullet"/>
      </w:pPr>
      <w:r w:rsidRPr="00715CB2">
        <w:t>physical conditions:</w:t>
      </w:r>
    </w:p>
    <w:p w:rsidR="00000000" w:rsidRPr="00715CB2" w:rsidP="00715CB2">
      <w:pPr>
        <w:pStyle w:val="ListBullet2"/>
      </w:pPr>
      <w:r w:rsidRPr="00715CB2">
        <w:t>skills must be demonstrated in a medicinal cannabis production site or an environment that accurately represents workplace conditions</w:t>
      </w:r>
    </w:p>
    <w:p w:rsidR="00000000" w:rsidRPr="00715CB2" w:rsidP="00715CB2">
      <w:pPr>
        <w:pStyle w:val="ListBullet"/>
      </w:pPr>
      <w:r w:rsidRPr="00715CB2">
        <w:t>resources, equipment and materials:</w:t>
      </w:r>
    </w:p>
    <w:p w:rsidR="00000000" w:rsidRPr="00715CB2" w:rsidP="00715CB2">
      <w:pPr>
        <w:pStyle w:val="ListBullet2"/>
      </w:pPr>
      <w:r w:rsidRPr="00715CB2">
        <w:t>workplace quality system</w:t>
      </w:r>
    </w:p>
    <w:p w:rsidR="00000000" w:rsidRPr="00715CB2" w:rsidP="00715CB2">
      <w:pPr>
        <w:pStyle w:val="ListBullet2"/>
      </w:pPr>
      <w:r w:rsidRPr="00715CB2">
        <w:t>workplace recording system</w:t>
      </w:r>
    </w:p>
    <w:p w:rsidR="00000000" w:rsidRPr="00715CB2" w:rsidP="00715CB2">
      <w:pPr>
        <w:pStyle w:val="ListBullet"/>
      </w:pPr>
      <w:r w:rsidRPr="00715CB2">
        <w:t>specifica</w:t>
      </w:r>
      <w:r w:rsidRPr="00715CB2">
        <w:t>tions:</w:t>
      </w:r>
    </w:p>
    <w:p w:rsidR="00000000" w:rsidRPr="00715CB2" w:rsidP="00715CB2">
      <w:pPr>
        <w:pStyle w:val="ListBullet2"/>
      </w:pPr>
      <w:r w:rsidRPr="00715CB2">
        <w:t xml:space="preserve">access to legislation and regulations related to the production of medicinal cannabis </w:t>
      </w:r>
    </w:p>
    <w:p w:rsidR="00000000" w:rsidRPr="00715CB2" w:rsidP="00715CB2">
      <w:pPr>
        <w:pStyle w:val="ListBullet2"/>
      </w:pPr>
      <w:r w:rsidRPr="00715CB2">
        <w:t>workplace quality procedures</w:t>
      </w:r>
    </w:p>
    <w:p w:rsidR="00000000" w:rsidRPr="00715CB2" w:rsidP="00715CB2">
      <w:pPr>
        <w:pStyle w:val="ListBullet2"/>
      </w:pPr>
      <w:r w:rsidRPr="00715CB2">
        <w:t>workplace procedures relating to the production of medicinal cannabis, including health and safety, hygiene and sanitation, recordin</w:t>
      </w:r>
      <w:r w:rsidRPr="00715CB2">
        <w:t>g and reporting requirements.</w:t>
      </w:r>
    </w:p>
    <w:p w:rsidR="00000000" w:rsidRPr="00715CB2" w:rsidP="00901878">
      <w:pPr>
        <w:pStyle w:val="BodyText"/>
      </w:pPr>
      <w:r w:rsidRPr="00715CB2">
        <w:t>Assessors of this unit must satisfy the requirements for assessors in applicable vocational education and training legislation, frameworks and/or standards.</w:t>
      </w:r>
    </w:p>
    <w:p w:rsidR="00000000" w:rsidRPr="00715CB2" w:rsidP="00715CB2">
      <w:pPr>
        <w:pStyle w:val="Heading1"/>
      </w:pPr>
      <w:bookmarkStart w:id="5" w:name="O_1155597"/>
      <w:bookmarkEnd w:id="5"/>
      <w:r w:rsidRPr="00715CB2">
        <w:t>Links</w:t>
      </w:r>
    </w:p>
    <w:p w:rsidR="00000000" w:rsidRPr="00715CB2" w:rsidP="00901878">
      <w:pPr>
        <w:pStyle w:val="BodyText"/>
      </w:pPr>
      <w:r w:rsidRPr="00715C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67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5CB2" w:rsidP="00715CB2"/>
    <w:sectPr w:rsidSect="00715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2" w:rsidRPr="00901878" w:rsidP="00901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78" w:rsidP="00715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1878" w:rsidP="00715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1878" w:rsidP="00715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CB2" w:rsidRPr="00901878" w:rsidP="00901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78" w:rsidRPr="002D2AF8" w:rsidP="00715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AHCMDC302 Apply regulatory and quality requirements to the production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1878" w:rsidP="00715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E5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3C9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7C9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CB2"/>
  </w:style>
  <w:style w:type="character" w:customStyle="1" w:styleId="Heading1Char">
    <w:name w:val="Heading 1 Char"/>
    <w:basedOn w:val="DefaultParagraphFont"/>
    <w:link w:val="Heading1"/>
    <w:rsid w:val="00715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CB2"/>
    <w:rPr>
      <w:b/>
      <w:spacing w:val="0"/>
    </w:rPr>
  </w:style>
  <w:style w:type="paragraph" w:styleId="ListBullet2">
    <w:name w:val="List Bullet 2"/>
    <w:basedOn w:val="List2"/>
    <w:rsid w:val="00715C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5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5CB2"/>
    <w:rPr>
      <w:b/>
    </w:rPr>
  </w:style>
  <w:style w:type="character" w:customStyle="1" w:styleId="Heading2Char">
    <w:name w:val="Heading 2 Char"/>
    <w:basedOn w:val="DefaultParagraphFont"/>
    <w:link w:val="Heading2"/>
    <w:rsid w:val="00715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5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CB2"/>
    <w:rPr>
      <w:i/>
    </w:rPr>
  </w:style>
  <w:style w:type="paragraph" w:styleId="Caption">
    <w:name w:val="caption"/>
    <w:basedOn w:val="BodyText"/>
    <w:next w:val="Normal"/>
    <w:qFormat/>
    <w:rsid w:val="00715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CB2"/>
  </w:style>
  <w:style w:type="paragraph" w:styleId="TableofFigures">
    <w:name w:val="table of figures"/>
    <w:basedOn w:val="Normal"/>
    <w:next w:val="Normal"/>
    <w:semiHidden/>
    <w:rsid w:val="00715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5CB2"/>
    <w:rPr>
      <w:rFonts w:ascii="Wingdings" w:hAnsi="Wingdings"/>
    </w:rPr>
  </w:style>
  <w:style w:type="paragraph" w:customStyle="1" w:styleId="TableHeading">
    <w:name w:val="Table Heading"/>
    <w:basedOn w:val="HeadingBase"/>
    <w:rsid w:val="00715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CB2"/>
    <w:rPr>
      <w:color w:val="0033CC"/>
      <w:u w:val="none"/>
    </w:rPr>
  </w:style>
  <w:style w:type="paragraph" w:customStyle="1" w:styleId="BodyTextRight">
    <w:name w:val="Body Text Right"/>
    <w:basedOn w:val="BodyText"/>
    <w:rsid w:val="00715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CB2"/>
    <w:rPr>
      <w:sz w:val="32"/>
    </w:rPr>
  </w:style>
  <w:style w:type="paragraph" w:customStyle="1" w:styleId="HeadingProcedure">
    <w:name w:val="Heading Procedure"/>
    <w:basedOn w:val="HeadingBase"/>
    <w:next w:val="Normal"/>
    <w:rsid w:val="00715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CB2"/>
    <w:pPr>
      <w:spacing w:before="60" w:after="60"/>
    </w:pPr>
  </w:style>
  <w:style w:type="paragraph" w:styleId="ListContinue">
    <w:name w:val="List Continue"/>
    <w:basedOn w:val="List"/>
    <w:rsid w:val="00715CB2"/>
    <w:pPr>
      <w:ind w:firstLine="0"/>
    </w:pPr>
  </w:style>
  <w:style w:type="paragraph" w:customStyle="1" w:styleId="ListNote">
    <w:name w:val="List Note"/>
    <w:basedOn w:val="List"/>
    <w:rsid w:val="00715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CB2"/>
    <w:rPr>
      <w:rFonts w:ascii="Courier New" w:hAnsi="Courier New"/>
    </w:rPr>
  </w:style>
  <w:style w:type="paragraph" w:customStyle="1" w:styleId="NoteBullet">
    <w:name w:val="Note Bullet"/>
    <w:basedOn w:val="Note"/>
    <w:rsid w:val="00715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5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CB2"/>
    <w:rPr>
      <w:b/>
      <w:smallCaps/>
    </w:rPr>
  </w:style>
  <w:style w:type="paragraph" w:customStyle="1" w:styleId="TableListNumber">
    <w:name w:val="Table List Number"/>
    <w:basedOn w:val="ListNumber"/>
    <w:rsid w:val="00715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CB2"/>
    <w:pPr>
      <w:numPr>
        <w:numId w:val="9"/>
      </w:numPr>
    </w:pPr>
  </w:style>
  <w:style w:type="paragraph" w:customStyle="1" w:styleId="ListAlpha2">
    <w:name w:val="List Alpha 2"/>
    <w:basedOn w:val="List2"/>
    <w:rsid w:val="00715CB2"/>
    <w:pPr>
      <w:numPr>
        <w:numId w:val="8"/>
      </w:numPr>
    </w:pPr>
  </w:style>
  <w:style w:type="paragraph" w:styleId="List2">
    <w:name w:val="List 2"/>
    <w:basedOn w:val="BodyText"/>
    <w:rsid w:val="00715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5CB2"/>
    <w:pPr>
      <w:numPr>
        <w:numId w:val="4"/>
      </w:numPr>
    </w:pPr>
  </w:style>
  <w:style w:type="paragraph" w:styleId="ListContinue2">
    <w:name w:val="List Continue 2"/>
    <w:basedOn w:val="List2"/>
    <w:rsid w:val="00715CB2"/>
    <w:pPr>
      <w:ind w:firstLine="0"/>
    </w:pPr>
  </w:style>
  <w:style w:type="paragraph" w:styleId="ListContinue3">
    <w:name w:val="List Continue 3"/>
    <w:basedOn w:val="List3"/>
    <w:rsid w:val="00715CB2"/>
    <w:pPr>
      <w:ind w:left="1021" w:firstLine="0"/>
    </w:pPr>
  </w:style>
  <w:style w:type="paragraph" w:styleId="ListContinue4">
    <w:name w:val="List Continue 4"/>
    <w:basedOn w:val="List4"/>
    <w:rsid w:val="00715CB2"/>
    <w:pPr>
      <w:ind w:firstLine="0"/>
    </w:pPr>
  </w:style>
  <w:style w:type="paragraph" w:styleId="ListContinue5">
    <w:name w:val="List Continue 5"/>
    <w:basedOn w:val="List5"/>
    <w:rsid w:val="00715CB2"/>
    <w:pPr>
      <w:ind w:firstLine="0"/>
    </w:pPr>
  </w:style>
  <w:style w:type="paragraph" w:styleId="ListNumber3">
    <w:name w:val="List Number 3"/>
    <w:basedOn w:val="List3"/>
    <w:rsid w:val="00715CB2"/>
    <w:pPr>
      <w:numPr>
        <w:numId w:val="5"/>
      </w:numPr>
    </w:pPr>
  </w:style>
  <w:style w:type="paragraph" w:styleId="ListNumber4">
    <w:name w:val="List Number 4"/>
    <w:basedOn w:val="List4"/>
    <w:rsid w:val="00715CB2"/>
    <w:pPr>
      <w:numPr>
        <w:numId w:val="6"/>
      </w:numPr>
    </w:pPr>
  </w:style>
  <w:style w:type="paragraph" w:styleId="ListNumber5">
    <w:name w:val="List Number 5"/>
    <w:basedOn w:val="List5"/>
    <w:rsid w:val="00715CB2"/>
    <w:pPr>
      <w:numPr>
        <w:numId w:val="7"/>
      </w:numPr>
    </w:pPr>
  </w:style>
  <w:style w:type="paragraph" w:styleId="BlockText">
    <w:name w:val="Block Text"/>
    <w:basedOn w:val="Normal"/>
    <w:rsid w:val="00715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CB2"/>
    <w:rPr>
      <w:sz w:val="16"/>
      <w:vertAlign w:val="superscript"/>
    </w:rPr>
  </w:style>
  <w:style w:type="character" w:customStyle="1" w:styleId="Symbols">
    <w:name w:val="Symbols"/>
    <w:basedOn w:val="DefaultParagraphFont"/>
    <w:rsid w:val="00715CB2"/>
    <w:rPr>
      <w:rFonts w:ascii="Symbol" w:hAnsi="Symbol"/>
    </w:rPr>
  </w:style>
  <w:style w:type="character" w:customStyle="1" w:styleId="MenuOptions">
    <w:name w:val="Menu Options"/>
    <w:basedOn w:val="DefaultParagraphFont"/>
    <w:rsid w:val="00715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CB2"/>
    <w:rPr>
      <w:b/>
    </w:rPr>
  </w:style>
  <w:style w:type="character" w:customStyle="1" w:styleId="Underlined">
    <w:name w:val="Underlined"/>
    <w:basedOn w:val="DefaultParagraphFont"/>
    <w:rsid w:val="00715CB2"/>
    <w:rPr>
      <w:u w:val="single"/>
    </w:rPr>
  </w:style>
  <w:style w:type="paragraph" w:customStyle="1" w:styleId="TableBodyTextRight">
    <w:name w:val="Table Body Text Right"/>
    <w:basedOn w:val="TableBodyText"/>
    <w:rsid w:val="00715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CB2"/>
    <w:rPr>
      <w:sz w:val="18"/>
    </w:rPr>
  </w:style>
  <w:style w:type="paragraph" w:customStyle="1" w:styleId="BodySmallRight">
    <w:name w:val="Body Small Right"/>
    <w:basedOn w:val="BodyTextRight"/>
    <w:rsid w:val="00715CB2"/>
    <w:rPr>
      <w:sz w:val="18"/>
      <w:szCs w:val="18"/>
    </w:rPr>
  </w:style>
  <w:style w:type="paragraph" w:customStyle="1" w:styleId="MarginEdition">
    <w:name w:val="Margin Edition"/>
    <w:basedOn w:val="MarginNote"/>
    <w:rsid w:val="00715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CB2"/>
    <w:rPr>
      <w:sz w:val="2"/>
      <w:szCs w:val="2"/>
    </w:rPr>
  </w:style>
  <w:style w:type="character" w:customStyle="1" w:styleId="Small">
    <w:name w:val="Small"/>
    <w:basedOn w:val="DefaultParagraphFont"/>
    <w:rsid w:val="00715CB2"/>
    <w:rPr>
      <w:sz w:val="16"/>
    </w:rPr>
  </w:style>
  <w:style w:type="paragraph" w:customStyle="1" w:styleId="WideTable">
    <w:name w:val="Wide Table"/>
    <w:basedOn w:val="Normal"/>
    <w:rsid w:val="00715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CB2"/>
  </w:style>
  <w:style w:type="paragraph" w:styleId="Quote">
    <w:name w:val="Quote"/>
    <w:basedOn w:val="Heading1"/>
    <w:link w:val="QuoteChar"/>
    <w:qFormat/>
    <w:rsid w:val="00715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CB2"/>
    <w:pPr>
      <w:pageBreakBefore/>
    </w:pPr>
  </w:style>
  <w:style w:type="paragraph" w:customStyle="1" w:styleId="Border">
    <w:name w:val="Border"/>
    <w:basedOn w:val="Normal"/>
    <w:qFormat/>
    <w:rsid w:val="00715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CB2"/>
    <w:rPr>
      <w:u w:val="single"/>
    </w:rPr>
  </w:style>
  <w:style w:type="character" w:customStyle="1" w:styleId="BoldandItalics">
    <w:name w:val="Bold and Italics"/>
    <w:qFormat/>
    <w:rsid w:val="00715CB2"/>
    <w:rPr>
      <w:b/>
      <w:i/>
      <w:u w:val="none"/>
    </w:rPr>
  </w:style>
  <w:style w:type="paragraph" w:styleId="BalloonText">
    <w:name w:val="Balloon Text"/>
    <w:basedOn w:val="Normal"/>
    <w:link w:val="BalloonTextChar"/>
    <w:rsid w:val="00715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C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1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3208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AHCMDC302 Apply regulatory and quality requirements to the production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