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3109" w:rsidP="000C31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AHCMAR306 Operate mobile underwater vehicles</w:t>
      </w:r>
      <w:r>
        <w:fldChar w:fldCharType="end"/>
      </w:r>
    </w:p>
    <w:p w:rsidR="000C3109" w:rsidP="000C3109">
      <w:pPr>
        <w:pStyle w:val="Version"/>
        <w:sectPr w:rsidSect="00B541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411A" w:rsidP="00B5411A">
      <w:pPr>
        <w:pStyle w:val="SuperHeading"/>
      </w:pPr>
      <w:r w:rsidRPr="00B5411A">
        <w:t>Assessment Requirements for AHCMAR306 Operate mobile underwater vehicles</w:t>
      </w:r>
    </w:p>
    <w:p w:rsidR="00000000" w:rsidRPr="00B5411A" w:rsidP="00B5411A">
      <w:pPr>
        <w:pStyle w:val="Heading1"/>
      </w:pPr>
      <w:bookmarkStart w:id="1" w:name="O_1151263"/>
      <w:bookmarkEnd w:id="1"/>
      <w:r w:rsidRPr="00B541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41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11A">
            <w:pPr>
              <w:pStyle w:val="BodyTextBold"/>
              <w:rPr>
                <w:lang w:val="en-NZ"/>
              </w:rPr>
            </w:pPr>
            <w:r w:rsidRPr="00B5411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11A">
            <w:pPr>
              <w:pStyle w:val="BodyTextBold"/>
              <w:rPr>
                <w:lang w:val="en-NZ"/>
              </w:rPr>
            </w:pPr>
            <w:r w:rsidRPr="00B5411A">
              <w:t>Comments</w:t>
            </w:r>
          </w:p>
        </w:tc>
      </w:tr>
      <w:tr w:rsidTr="00B541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11A">
            <w:pPr>
              <w:pStyle w:val="BodyText"/>
              <w:rPr>
                <w:lang w:val="en-NZ"/>
              </w:rPr>
            </w:pPr>
            <w:r w:rsidRPr="00B5411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11A" w:rsidP="00B5411A">
            <w:pPr>
              <w:pStyle w:val="BodyText"/>
            </w:pPr>
            <w:r w:rsidRPr="00B5411A">
              <w:t>This version released with AHC Agriculture, Horticulture and Conservation and Land Management Training Package Version 6.0.</w:t>
            </w:r>
          </w:p>
        </w:tc>
      </w:tr>
    </w:tbl>
    <w:p w:rsidR="00000000" w:rsidRPr="00B5411A" w:rsidP="00B5411A">
      <w:pPr>
        <w:pStyle w:val="BodyText"/>
      </w:pPr>
    </w:p>
    <w:p w:rsidR="00000000" w:rsidRPr="00B5411A" w:rsidP="00B5411A">
      <w:pPr>
        <w:pStyle w:val="AllowPageBreak"/>
      </w:pPr>
    </w:p>
    <w:p w:rsidR="00000000" w:rsidRPr="00B5411A" w:rsidP="00B5411A">
      <w:pPr>
        <w:pStyle w:val="Heading1"/>
      </w:pPr>
      <w:bookmarkStart w:id="2" w:name="O_1151264"/>
      <w:bookmarkEnd w:id="2"/>
      <w:r w:rsidRPr="00B5411A">
        <w:t>Performance Evidence</w:t>
      </w:r>
    </w:p>
    <w:p w:rsidR="00000000" w:rsidRPr="00B5411A" w:rsidP="000C3109">
      <w:pPr>
        <w:pStyle w:val="BodyText"/>
      </w:pPr>
      <w:r w:rsidRPr="00B5411A">
        <w:t>An individual demonstrating competency must satisfy all of the elements and performance cr</w:t>
      </w:r>
      <w:r w:rsidRPr="00B5411A">
        <w:t xml:space="preserve">iteria in this unit. </w:t>
      </w:r>
    </w:p>
    <w:p w:rsidR="00000000" w:rsidRPr="00B5411A" w:rsidP="000C3109">
      <w:pPr>
        <w:pStyle w:val="BodyText"/>
      </w:pPr>
      <w:r w:rsidRPr="00B5411A">
        <w:t>There must be evidence that the individual has, on at least one occasion, prepared and operated a mobile underwater vehicle, and has:</w:t>
      </w:r>
    </w:p>
    <w:p w:rsidR="00000000" w:rsidRPr="00B5411A" w:rsidP="00B5411A">
      <w:pPr>
        <w:pStyle w:val="ListBullet"/>
      </w:pPr>
      <w:r w:rsidRPr="00B5411A">
        <w:t>read, interpreted and completed documentation, including:</w:t>
      </w:r>
    </w:p>
    <w:p w:rsidR="00000000" w:rsidRPr="00B5411A" w:rsidP="00B5411A">
      <w:pPr>
        <w:pStyle w:val="ListBullet2"/>
      </w:pPr>
      <w:r w:rsidRPr="00B5411A">
        <w:t>marine charts/maps</w:t>
      </w:r>
    </w:p>
    <w:p w:rsidR="00000000" w:rsidRPr="00B5411A" w:rsidP="00B5411A">
      <w:pPr>
        <w:pStyle w:val="ListBullet2"/>
      </w:pPr>
      <w:r w:rsidRPr="00B5411A">
        <w:t>marine forecasts</w:t>
      </w:r>
    </w:p>
    <w:p w:rsidR="00000000" w:rsidRPr="00B5411A" w:rsidP="00B5411A">
      <w:pPr>
        <w:pStyle w:val="ListBullet2"/>
      </w:pPr>
      <w:r w:rsidRPr="00B5411A">
        <w:t>operating and emergency procedures</w:t>
      </w:r>
    </w:p>
    <w:p w:rsidR="00000000" w:rsidRPr="00B5411A" w:rsidP="00B5411A">
      <w:pPr>
        <w:pStyle w:val="ListBullet2"/>
      </w:pPr>
      <w:r w:rsidRPr="00B5411A">
        <w:t>logs associated with underwater vehicle operation</w:t>
      </w:r>
    </w:p>
    <w:p w:rsidR="00000000" w:rsidRPr="00B5411A" w:rsidP="00B5411A">
      <w:pPr>
        <w:pStyle w:val="ListBullet"/>
      </w:pPr>
      <w:r w:rsidRPr="00B5411A">
        <w:t xml:space="preserve">identified and prepared mobile underwater vehicle and associated equipment </w:t>
      </w:r>
    </w:p>
    <w:p w:rsidR="00000000" w:rsidRPr="00B5411A" w:rsidP="00B5411A">
      <w:pPr>
        <w:pStyle w:val="ListBullet"/>
      </w:pPr>
      <w:r w:rsidRPr="00B5411A">
        <w:t xml:space="preserve">transported mobile underwater vehicle to and from location </w:t>
      </w:r>
    </w:p>
    <w:p w:rsidR="00000000" w:rsidRPr="00B5411A" w:rsidP="00B5411A">
      <w:pPr>
        <w:pStyle w:val="ListBullet"/>
      </w:pPr>
      <w:r w:rsidRPr="00B5411A">
        <w:t>assembled mobile underwater vehicl</w:t>
      </w:r>
      <w:r w:rsidRPr="00B5411A">
        <w:t xml:space="preserve">e and conducted pre-dive checks on location, with particular attention to: </w:t>
      </w:r>
    </w:p>
    <w:p w:rsidR="00000000" w:rsidRPr="00B5411A" w:rsidP="00B5411A">
      <w:pPr>
        <w:pStyle w:val="ListBullet2"/>
      </w:pPr>
      <w:r w:rsidRPr="00B5411A">
        <w:t>tethers, attachments, mounts and retrieval systems</w:t>
      </w:r>
    </w:p>
    <w:p w:rsidR="00000000" w:rsidRPr="00B5411A" w:rsidP="00B5411A">
      <w:pPr>
        <w:pStyle w:val="ListBullet2"/>
      </w:pPr>
      <w:r w:rsidRPr="00B5411A">
        <w:t>seals and O-rings</w:t>
      </w:r>
    </w:p>
    <w:p w:rsidR="00000000" w:rsidRPr="00B5411A" w:rsidP="00B5411A">
      <w:pPr>
        <w:pStyle w:val="ListBullet2"/>
      </w:pPr>
      <w:r w:rsidRPr="00B5411A">
        <w:t>soft pads</w:t>
      </w:r>
    </w:p>
    <w:p w:rsidR="00000000" w:rsidRPr="00B5411A" w:rsidP="00B5411A">
      <w:pPr>
        <w:pStyle w:val="ListBullet2"/>
      </w:pPr>
      <w:r w:rsidRPr="00B5411A">
        <w:t>electrical connections/power supply</w:t>
      </w:r>
    </w:p>
    <w:p w:rsidR="00000000" w:rsidRPr="00B5411A" w:rsidP="00B5411A">
      <w:pPr>
        <w:pStyle w:val="ListBullet2"/>
      </w:pPr>
      <w:r w:rsidRPr="00B5411A">
        <w:t>lenses and protective covers</w:t>
      </w:r>
    </w:p>
    <w:p w:rsidR="00000000" w:rsidRPr="00B5411A" w:rsidP="00B5411A">
      <w:pPr>
        <w:pStyle w:val="ListBullet"/>
      </w:pPr>
      <w:r w:rsidRPr="00B5411A">
        <w:t>deployed and operated mobile under</w:t>
      </w:r>
      <w:r w:rsidRPr="00B5411A">
        <w:t xml:space="preserve">water vehicle safely according to operational plan and workplace procedures </w:t>
      </w:r>
    </w:p>
    <w:p w:rsidR="00000000" w:rsidRPr="00B5411A" w:rsidP="00B5411A">
      <w:pPr>
        <w:pStyle w:val="ListBullet"/>
      </w:pPr>
      <w:r w:rsidRPr="00B5411A">
        <w:t xml:space="preserve">monitored operational threats and adjusted operating parameters as required </w:t>
      </w:r>
    </w:p>
    <w:p w:rsidR="00000000" w:rsidRPr="00B5411A" w:rsidP="00B5411A">
      <w:pPr>
        <w:pStyle w:val="ListBullet"/>
      </w:pPr>
      <w:r w:rsidRPr="00B5411A">
        <w:t>responded to contingency situations</w:t>
      </w:r>
    </w:p>
    <w:p w:rsidR="00000000" w:rsidRPr="00B5411A" w:rsidP="00B5411A">
      <w:pPr>
        <w:pStyle w:val="ListBullet"/>
      </w:pPr>
      <w:r w:rsidRPr="00B5411A">
        <w:t>retrieved and secured mobile underwater vehicle and associated equipment</w:t>
      </w:r>
    </w:p>
    <w:p w:rsidR="00000000" w:rsidRPr="00B5411A" w:rsidP="00B5411A">
      <w:pPr>
        <w:pStyle w:val="ListBullet"/>
      </w:pPr>
      <w:r w:rsidRPr="00B5411A">
        <w:t xml:space="preserve">cleaned, maintained and stored underwater vehicle and equipment </w:t>
      </w:r>
    </w:p>
    <w:p w:rsidR="00000000" w:rsidRPr="00B5411A" w:rsidP="00B5411A">
      <w:pPr>
        <w:pStyle w:val="ListBullet"/>
      </w:pPr>
      <w:r w:rsidRPr="00B5411A">
        <w:t>retrieved records and data from vehicle/camera</w:t>
      </w:r>
    </w:p>
    <w:p w:rsidR="00000000" w:rsidRPr="00B5411A" w:rsidP="00B5411A">
      <w:pPr>
        <w:pStyle w:val="ListBullet"/>
      </w:pPr>
      <w:r w:rsidRPr="00B5411A">
        <w:t>recorded underwater vehicle operations</w:t>
      </w:r>
    </w:p>
    <w:p w:rsidR="00000000" w:rsidRPr="00B5411A" w:rsidP="00B5411A">
      <w:pPr>
        <w:pStyle w:val="ListBullet"/>
      </w:pPr>
      <w:r w:rsidRPr="00B5411A">
        <w:t>performed a workplace health and</w:t>
      </w:r>
      <w:r w:rsidRPr="00B5411A">
        <w:t xml:space="preserve"> safety (WHS) risk assessment for underwater vehicle operations.</w:t>
      </w:r>
    </w:p>
    <w:p w:rsidR="00000000" w:rsidRPr="00B5411A" w:rsidP="00B5411A">
      <w:pPr>
        <w:pStyle w:val="AllowPageBreak"/>
      </w:pPr>
    </w:p>
    <w:p w:rsidR="00000000" w:rsidRPr="00B5411A" w:rsidP="00B5411A">
      <w:pPr>
        <w:pStyle w:val="Heading1"/>
      </w:pPr>
      <w:bookmarkStart w:id="3" w:name="O_1151265"/>
      <w:bookmarkEnd w:id="3"/>
      <w:r w:rsidRPr="00B5411A">
        <w:t>Knowledge Evidence</w:t>
      </w:r>
    </w:p>
    <w:p w:rsidR="00000000" w:rsidRPr="00B5411A" w:rsidP="000C3109">
      <w:pPr>
        <w:pStyle w:val="BodyText"/>
      </w:pPr>
      <w:r w:rsidRPr="00B5411A">
        <w:t>An individual must be able to demonstrate the knowledge required to perform the tasks outlined in the elements and performance criteria of this unit. Thi</w:t>
      </w:r>
      <w:r w:rsidRPr="00B5411A">
        <w:t>s includes knowledge of:</w:t>
      </w:r>
    </w:p>
    <w:p w:rsidR="00000000" w:rsidRPr="00B5411A" w:rsidP="00B5411A">
      <w:pPr>
        <w:pStyle w:val="ListBullet"/>
      </w:pPr>
      <w:r w:rsidRPr="00B5411A">
        <w:t>appropriate techniques and workplace procedures for the operation of mobile underwater vehicles for conservation work</w:t>
      </w:r>
    </w:p>
    <w:p w:rsidR="00000000" w:rsidRPr="00B5411A" w:rsidP="00B5411A">
      <w:pPr>
        <w:pStyle w:val="ListBullet"/>
      </w:pPr>
      <w:r w:rsidRPr="00B5411A">
        <w:t>identification and names of types and parts of mobile underwater vehicles and associated equipment, including:</w:t>
      </w:r>
    </w:p>
    <w:p w:rsidR="00000000" w:rsidRPr="00B5411A" w:rsidP="00B5411A">
      <w:pPr>
        <w:pStyle w:val="ListBullet2"/>
      </w:pPr>
      <w:r w:rsidRPr="00B5411A">
        <w:t>winches and cables</w:t>
      </w:r>
    </w:p>
    <w:p w:rsidR="00000000" w:rsidRPr="00B5411A" w:rsidP="00B5411A">
      <w:pPr>
        <w:pStyle w:val="ListBullet2"/>
      </w:pPr>
      <w:r w:rsidRPr="00B5411A">
        <w:t>monitors</w:t>
      </w:r>
    </w:p>
    <w:p w:rsidR="00000000" w:rsidRPr="00B5411A" w:rsidP="00B5411A">
      <w:pPr>
        <w:pStyle w:val="ListBullet2"/>
      </w:pPr>
      <w:r w:rsidRPr="00B5411A">
        <w:t>power supply</w:t>
      </w:r>
    </w:p>
    <w:p w:rsidR="00000000" w:rsidRPr="00B5411A" w:rsidP="00B5411A">
      <w:pPr>
        <w:pStyle w:val="ListBullet2"/>
      </w:pPr>
      <w:r w:rsidRPr="00B5411A">
        <w:t>global positioning system (GPS) and sonar</w:t>
      </w:r>
    </w:p>
    <w:p w:rsidR="00000000" w:rsidRPr="00B5411A" w:rsidP="00B5411A">
      <w:pPr>
        <w:pStyle w:val="ListBullet"/>
      </w:pPr>
      <w:r w:rsidRPr="00B5411A">
        <w:t>workplace procedures and marine regulations that relate to mobile underwater vehicles</w:t>
      </w:r>
    </w:p>
    <w:p w:rsidR="00000000" w:rsidRPr="00B5411A" w:rsidP="00B5411A">
      <w:pPr>
        <w:pStyle w:val="ListBullet"/>
      </w:pPr>
      <w:r w:rsidRPr="00B5411A">
        <w:t>marine weather, sea conditions and forecasting</w:t>
      </w:r>
    </w:p>
    <w:p w:rsidR="00000000" w:rsidRPr="00B5411A" w:rsidP="00B5411A">
      <w:pPr>
        <w:pStyle w:val="ListBullet"/>
      </w:pPr>
      <w:r w:rsidRPr="00B5411A">
        <w:t>interpreting marine charts and sonar maps/records</w:t>
      </w:r>
    </w:p>
    <w:p w:rsidR="00000000" w:rsidRPr="00B5411A" w:rsidP="00B5411A">
      <w:pPr>
        <w:pStyle w:val="ListBullet"/>
      </w:pPr>
      <w:r w:rsidRPr="00B5411A">
        <w:t>logistical and technical requirements for operating mobile underwater vehicles</w:t>
      </w:r>
    </w:p>
    <w:p w:rsidR="00000000" w:rsidRPr="00B5411A" w:rsidP="00B5411A">
      <w:pPr>
        <w:pStyle w:val="ListBullet"/>
      </w:pPr>
      <w:r w:rsidRPr="00B5411A">
        <w:t>the basic physics of the underwater environment and the relationships between equipment/monitoring techniques and depth, pressu</w:t>
      </w:r>
      <w:r w:rsidRPr="00B5411A">
        <w:t>re, flow and light penetration</w:t>
      </w:r>
    </w:p>
    <w:p w:rsidR="00000000" w:rsidRPr="00B5411A" w:rsidP="00B5411A">
      <w:pPr>
        <w:pStyle w:val="ListBullet"/>
      </w:pPr>
      <w:r w:rsidRPr="00B5411A">
        <w:t>computer hardware and software systems that support marine monitoring work</w:t>
      </w:r>
    </w:p>
    <w:p w:rsidR="00000000" w:rsidRPr="00B5411A" w:rsidP="00B5411A">
      <w:pPr>
        <w:pStyle w:val="ListBullet"/>
      </w:pPr>
      <w:r w:rsidRPr="00B5411A">
        <w:t xml:space="preserve">equipment risks associated with operation of mobile underwater vehicles, including: </w:t>
      </w:r>
    </w:p>
    <w:p w:rsidR="00000000" w:rsidRPr="00B5411A" w:rsidP="00B5411A">
      <w:pPr>
        <w:pStyle w:val="ListBullet2"/>
      </w:pPr>
      <w:r w:rsidRPr="00B5411A">
        <w:t>condensation</w:t>
      </w:r>
    </w:p>
    <w:p w:rsidR="00000000" w:rsidRPr="00B5411A" w:rsidP="00B5411A">
      <w:pPr>
        <w:pStyle w:val="ListBullet2"/>
      </w:pPr>
      <w:r w:rsidRPr="00B5411A">
        <w:t xml:space="preserve">pressure </w:t>
      </w:r>
    </w:p>
    <w:p w:rsidR="00000000" w:rsidRPr="00B5411A" w:rsidP="00B5411A">
      <w:pPr>
        <w:pStyle w:val="ListBullet2"/>
      </w:pPr>
      <w:r w:rsidRPr="00B5411A">
        <w:t>water flow</w:t>
      </w:r>
    </w:p>
    <w:p w:rsidR="00000000" w:rsidRPr="00B5411A" w:rsidP="00B5411A">
      <w:pPr>
        <w:pStyle w:val="ListBullet2"/>
      </w:pPr>
      <w:r w:rsidRPr="00B5411A">
        <w:t xml:space="preserve">fouling and retrieval complications </w:t>
      </w:r>
    </w:p>
    <w:p w:rsidR="00000000" w:rsidRPr="00B5411A" w:rsidP="00B5411A">
      <w:pPr>
        <w:pStyle w:val="ListBullet2"/>
      </w:pPr>
      <w:r w:rsidRPr="00B5411A">
        <w:t>maintenance – including age, contamination and corrosion</w:t>
      </w:r>
    </w:p>
    <w:p w:rsidR="00000000" w:rsidRPr="00B5411A" w:rsidP="00B5411A">
      <w:pPr>
        <w:pStyle w:val="ListBullet"/>
      </w:pPr>
      <w:r w:rsidRPr="00B5411A">
        <w:t>biosecurity measures for operation of mobile underwater vehicles</w:t>
      </w:r>
    </w:p>
    <w:p w:rsidR="00000000" w:rsidRPr="00B5411A" w:rsidP="00B5411A">
      <w:pPr>
        <w:pStyle w:val="ListBullet"/>
      </w:pPr>
      <w:r w:rsidRPr="00B5411A">
        <w:t>marine WHS, hazard identification and risk control measures.</w:t>
      </w:r>
    </w:p>
    <w:p w:rsidR="00000000" w:rsidRPr="00B5411A" w:rsidP="00B5411A">
      <w:pPr>
        <w:pStyle w:val="AllowPageBreak"/>
      </w:pPr>
    </w:p>
    <w:p w:rsidR="00000000" w:rsidRPr="00B5411A" w:rsidP="00B5411A">
      <w:pPr>
        <w:pStyle w:val="Heading1"/>
      </w:pPr>
      <w:bookmarkStart w:id="4" w:name="O_1151266"/>
      <w:bookmarkEnd w:id="4"/>
      <w:r w:rsidRPr="00B5411A">
        <w:t>Assessment Condi</w:t>
      </w:r>
      <w:r w:rsidRPr="00B5411A">
        <w:t>tions</w:t>
      </w:r>
    </w:p>
    <w:p w:rsidR="00000000" w:rsidRPr="00B5411A" w:rsidP="000C3109">
      <w:pPr>
        <w:pStyle w:val="BodyText"/>
      </w:pPr>
      <w:r w:rsidRPr="00B5411A">
        <w:t xml:space="preserve">Assessment of the skills in this unit of competency must take place under the following conditions: </w:t>
      </w:r>
    </w:p>
    <w:p w:rsidR="00000000" w:rsidRPr="00B5411A" w:rsidP="00B5411A">
      <w:pPr>
        <w:pStyle w:val="ListBullet"/>
      </w:pPr>
      <w:r w:rsidRPr="00B5411A">
        <w:t>physical conditions:</w:t>
      </w:r>
    </w:p>
    <w:p w:rsidR="00000000" w:rsidRPr="00B5411A" w:rsidP="00B5411A">
      <w:pPr>
        <w:pStyle w:val="ListBullet2"/>
      </w:pPr>
      <w:r w:rsidRPr="00B5411A">
        <w:t>skills must be demonstrated in the field or an environment that accurately represents workplace conditions</w:t>
      </w:r>
    </w:p>
    <w:p w:rsidR="00000000" w:rsidRPr="00B5411A" w:rsidP="00B5411A">
      <w:pPr>
        <w:pStyle w:val="ListBullet"/>
      </w:pPr>
      <w:r w:rsidRPr="00B5411A">
        <w:t>resources, equipme</w:t>
      </w:r>
      <w:r w:rsidRPr="00B5411A">
        <w:t>nt and materials:</w:t>
      </w:r>
    </w:p>
    <w:p w:rsidR="00000000" w:rsidRPr="00B5411A" w:rsidP="00B5411A">
      <w:pPr>
        <w:pStyle w:val="ListBullet2"/>
      </w:pPr>
      <w:r w:rsidRPr="00B5411A">
        <w:t>mobile underwater vehicle and associated equipment</w:t>
      </w:r>
    </w:p>
    <w:p w:rsidR="00000000" w:rsidRPr="00B5411A" w:rsidP="00B5411A">
      <w:pPr>
        <w:pStyle w:val="ListBullet2"/>
      </w:pPr>
      <w:r w:rsidRPr="00B5411A">
        <w:t>tools for assembling, dismantling and maintaining equipment</w:t>
      </w:r>
    </w:p>
    <w:p w:rsidR="00000000" w:rsidRPr="00B5411A" w:rsidP="00B5411A">
      <w:pPr>
        <w:pStyle w:val="ListBullet2"/>
      </w:pPr>
      <w:r w:rsidRPr="00B5411A">
        <w:t>personal protective equipment</w:t>
      </w:r>
    </w:p>
    <w:p w:rsidR="00000000" w:rsidRPr="00B5411A" w:rsidP="00B5411A">
      <w:pPr>
        <w:pStyle w:val="ListBullet"/>
      </w:pPr>
      <w:r w:rsidRPr="00B5411A">
        <w:t>specifications:</w:t>
      </w:r>
    </w:p>
    <w:p w:rsidR="00000000" w:rsidRPr="00B5411A" w:rsidP="00B5411A">
      <w:pPr>
        <w:pStyle w:val="ListBullet2"/>
      </w:pPr>
      <w:r w:rsidRPr="00B5411A">
        <w:t>workplace procedures and processes for mobile underwater vehicle operations</w:t>
      </w:r>
    </w:p>
    <w:p w:rsidR="00000000" w:rsidRPr="00B5411A" w:rsidP="00B5411A">
      <w:pPr>
        <w:pStyle w:val="ListBullet2"/>
      </w:pPr>
      <w:r w:rsidRPr="00B5411A">
        <w:t xml:space="preserve">manufacturer operating instructions for mobile underwater vehicle and equipment </w:t>
      </w:r>
    </w:p>
    <w:p w:rsidR="00000000" w:rsidRPr="00B5411A" w:rsidP="00B5411A">
      <w:pPr>
        <w:pStyle w:val="ListBullet2"/>
      </w:pPr>
      <w:r w:rsidRPr="00B5411A">
        <w:t>workplace instructions</w:t>
      </w:r>
    </w:p>
    <w:p w:rsidR="00000000" w:rsidRPr="00B5411A" w:rsidP="00B5411A">
      <w:pPr>
        <w:pStyle w:val="ListBullet"/>
      </w:pPr>
      <w:r w:rsidRPr="00B5411A">
        <w:t xml:space="preserve">relationships: </w:t>
      </w:r>
    </w:p>
    <w:p w:rsidR="00000000" w:rsidRPr="00B5411A" w:rsidP="00B5411A">
      <w:pPr>
        <w:pStyle w:val="ListBullet2"/>
      </w:pPr>
      <w:r w:rsidRPr="00B5411A">
        <w:t>supervisor.</w:t>
      </w:r>
    </w:p>
    <w:p w:rsidR="00000000" w:rsidRPr="00B5411A" w:rsidP="000C3109">
      <w:pPr>
        <w:pStyle w:val="BodyText"/>
      </w:pPr>
      <w:r w:rsidRPr="00B5411A">
        <w:t>Assessors of this unit must satisfy the requirements for assessors in applicable vocational education and training legisla</w:t>
      </w:r>
      <w:r w:rsidRPr="00B5411A">
        <w:t>tion, frameworks and/or standards.</w:t>
      </w:r>
    </w:p>
    <w:p w:rsidR="00000000" w:rsidRPr="00B5411A" w:rsidP="00B5411A">
      <w:pPr>
        <w:pStyle w:val="Heading1"/>
      </w:pPr>
      <w:bookmarkStart w:id="5" w:name="O_1151269"/>
      <w:bookmarkEnd w:id="5"/>
      <w:r w:rsidRPr="00B5411A">
        <w:t>Links</w:t>
      </w:r>
    </w:p>
    <w:p w:rsidR="00000000" w:rsidRPr="00B5411A" w:rsidP="000C3109">
      <w:pPr>
        <w:pStyle w:val="BodyText"/>
      </w:pPr>
      <w:r w:rsidRPr="00B5411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62AF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411A" w:rsidP="00B5411A"/>
    <w:sectPr w:rsidSect="00B541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1A" w:rsidRPr="000C3109" w:rsidP="000C31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109" w:rsidP="00B541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3109" w:rsidP="00B541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C3109" w:rsidP="00B541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1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411A" w:rsidRPr="000C3109" w:rsidP="000C31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109" w:rsidRPr="002D2AF8" w:rsidP="00B541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AHCMAR306 Operate mobile underwater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C3109" w:rsidP="00B541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600A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B482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ACB3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1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41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41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41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41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41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41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41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41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41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41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411A"/>
  </w:style>
  <w:style w:type="character" w:customStyle="1" w:styleId="Heading1Char">
    <w:name w:val="Heading 1 Char"/>
    <w:basedOn w:val="DefaultParagraphFont"/>
    <w:link w:val="Heading1"/>
    <w:rsid w:val="00B541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41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41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41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41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41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41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5411A"/>
    <w:rPr>
      <w:b/>
    </w:rPr>
  </w:style>
  <w:style w:type="character" w:customStyle="1" w:styleId="Heading2Char">
    <w:name w:val="Heading 2 Char"/>
    <w:basedOn w:val="DefaultParagraphFont"/>
    <w:link w:val="Heading2"/>
    <w:rsid w:val="00B541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41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41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4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4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4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4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41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41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41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41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41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41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41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41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41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41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41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41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41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411A"/>
    <w:rPr>
      <w:b/>
      <w:spacing w:val="0"/>
    </w:rPr>
  </w:style>
  <w:style w:type="paragraph" w:customStyle="1" w:styleId="SuperTitle">
    <w:name w:val="SuperTitle"/>
    <w:basedOn w:val="Title"/>
    <w:rsid w:val="00B541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41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41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41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41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41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41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41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41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41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41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41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411A"/>
    <w:rPr>
      <w:i/>
    </w:rPr>
  </w:style>
  <w:style w:type="paragraph" w:styleId="Caption">
    <w:name w:val="caption"/>
    <w:basedOn w:val="BodyText"/>
    <w:next w:val="Normal"/>
    <w:qFormat/>
    <w:rsid w:val="00B541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41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41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411A"/>
  </w:style>
  <w:style w:type="paragraph" w:styleId="TableofFigures">
    <w:name w:val="table of figures"/>
    <w:basedOn w:val="Normal"/>
    <w:next w:val="Normal"/>
    <w:semiHidden/>
    <w:rsid w:val="00B541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41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411A"/>
    <w:rPr>
      <w:rFonts w:ascii="Wingdings" w:hAnsi="Wingdings"/>
    </w:rPr>
  </w:style>
  <w:style w:type="paragraph" w:customStyle="1" w:styleId="TableHeading">
    <w:name w:val="Table Heading"/>
    <w:basedOn w:val="HeadingBase"/>
    <w:rsid w:val="00B541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411A"/>
    <w:rPr>
      <w:color w:val="0033CC"/>
      <w:u w:val="none"/>
    </w:rPr>
  </w:style>
  <w:style w:type="paragraph" w:customStyle="1" w:styleId="BodyTextRight">
    <w:name w:val="Body Text Right"/>
    <w:basedOn w:val="BodyText"/>
    <w:rsid w:val="00B541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41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41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41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41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41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411A"/>
    <w:rPr>
      <w:sz w:val="32"/>
    </w:rPr>
  </w:style>
  <w:style w:type="paragraph" w:customStyle="1" w:styleId="HeadingProcedure">
    <w:name w:val="Heading Procedure"/>
    <w:basedOn w:val="HeadingBase"/>
    <w:next w:val="Normal"/>
    <w:rsid w:val="00B541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411A"/>
    <w:pPr>
      <w:spacing w:before="60" w:after="60"/>
    </w:pPr>
  </w:style>
  <w:style w:type="paragraph" w:styleId="ListContinue">
    <w:name w:val="List Continue"/>
    <w:basedOn w:val="List"/>
    <w:rsid w:val="00B5411A"/>
    <w:pPr>
      <w:ind w:firstLine="0"/>
    </w:pPr>
  </w:style>
  <w:style w:type="paragraph" w:customStyle="1" w:styleId="ListNote">
    <w:name w:val="List Note"/>
    <w:basedOn w:val="List"/>
    <w:rsid w:val="00B541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41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41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411A"/>
    <w:rPr>
      <w:rFonts w:ascii="Courier New" w:hAnsi="Courier New"/>
    </w:rPr>
  </w:style>
  <w:style w:type="paragraph" w:customStyle="1" w:styleId="NoteBullet">
    <w:name w:val="Note Bullet"/>
    <w:basedOn w:val="Note"/>
    <w:rsid w:val="00B541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41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41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41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41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41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41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411A"/>
    <w:rPr>
      <w:b/>
      <w:smallCaps/>
    </w:rPr>
  </w:style>
  <w:style w:type="paragraph" w:customStyle="1" w:styleId="TableListNumber">
    <w:name w:val="Table List Number"/>
    <w:basedOn w:val="ListNumber"/>
    <w:rsid w:val="00B541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41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411A"/>
    <w:pPr>
      <w:numPr>
        <w:numId w:val="9"/>
      </w:numPr>
    </w:pPr>
  </w:style>
  <w:style w:type="paragraph" w:customStyle="1" w:styleId="ListAlpha2">
    <w:name w:val="List Alpha 2"/>
    <w:basedOn w:val="List2"/>
    <w:rsid w:val="00B5411A"/>
    <w:pPr>
      <w:numPr>
        <w:numId w:val="8"/>
      </w:numPr>
    </w:pPr>
  </w:style>
  <w:style w:type="paragraph" w:styleId="List2">
    <w:name w:val="List 2"/>
    <w:basedOn w:val="BodyText"/>
    <w:rsid w:val="00B541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41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41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41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41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41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411A"/>
    <w:pPr>
      <w:numPr>
        <w:numId w:val="4"/>
      </w:numPr>
    </w:pPr>
  </w:style>
  <w:style w:type="paragraph" w:styleId="ListContinue2">
    <w:name w:val="List Continue 2"/>
    <w:basedOn w:val="List2"/>
    <w:rsid w:val="00B5411A"/>
    <w:pPr>
      <w:ind w:firstLine="0"/>
    </w:pPr>
  </w:style>
  <w:style w:type="paragraph" w:styleId="ListContinue3">
    <w:name w:val="List Continue 3"/>
    <w:basedOn w:val="List3"/>
    <w:rsid w:val="00B5411A"/>
    <w:pPr>
      <w:ind w:left="1021" w:firstLine="0"/>
    </w:pPr>
  </w:style>
  <w:style w:type="paragraph" w:styleId="ListContinue4">
    <w:name w:val="List Continue 4"/>
    <w:basedOn w:val="List4"/>
    <w:rsid w:val="00B5411A"/>
    <w:pPr>
      <w:ind w:firstLine="0"/>
    </w:pPr>
  </w:style>
  <w:style w:type="paragraph" w:styleId="ListContinue5">
    <w:name w:val="List Continue 5"/>
    <w:basedOn w:val="List5"/>
    <w:rsid w:val="00B5411A"/>
    <w:pPr>
      <w:ind w:firstLine="0"/>
    </w:pPr>
  </w:style>
  <w:style w:type="paragraph" w:styleId="ListNumber3">
    <w:name w:val="List Number 3"/>
    <w:basedOn w:val="List3"/>
    <w:rsid w:val="00B5411A"/>
    <w:pPr>
      <w:numPr>
        <w:numId w:val="5"/>
      </w:numPr>
    </w:pPr>
  </w:style>
  <w:style w:type="paragraph" w:styleId="ListNumber4">
    <w:name w:val="List Number 4"/>
    <w:basedOn w:val="List4"/>
    <w:rsid w:val="00B5411A"/>
    <w:pPr>
      <w:numPr>
        <w:numId w:val="6"/>
      </w:numPr>
    </w:pPr>
  </w:style>
  <w:style w:type="paragraph" w:styleId="ListNumber5">
    <w:name w:val="List Number 5"/>
    <w:basedOn w:val="List5"/>
    <w:rsid w:val="00B5411A"/>
    <w:pPr>
      <w:numPr>
        <w:numId w:val="7"/>
      </w:numPr>
    </w:pPr>
  </w:style>
  <w:style w:type="paragraph" w:styleId="BlockText">
    <w:name w:val="Block Text"/>
    <w:basedOn w:val="Normal"/>
    <w:rsid w:val="00B541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41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411A"/>
    <w:rPr>
      <w:sz w:val="16"/>
      <w:vertAlign w:val="superscript"/>
    </w:rPr>
  </w:style>
  <w:style w:type="character" w:customStyle="1" w:styleId="Symbols">
    <w:name w:val="Symbols"/>
    <w:basedOn w:val="DefaultParagraphFont"/>
    <w:rsid w:val="00B5411A"/>
    <w:rPr>
      <w:rFonts w:ascii="Symbol" w:hAnsi="Symbol"/>
    </w:rPr>
  </w:style>
  <w:style w:type="character" w:customStyle="1" w:styleId="MenuOptions">
    <w:name w:val="Menu Options"/>
    <w:basedOn w:val="DefaultParagraphFont"/>
    <w:rsid w:val="00B541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411A"/>
    <w:rPr>
      <w:b/>
    </w:rPr>
  </w:style>
  <w:style w:type="character" w:customStyle="1" w:styleId="Underlined">
    <w:name w:val="Underlined"/>
    <w:basedOn w:val="DefaultParagraphFont"/>
    <w:rsid w:val="00B5411A"/>
    <w:rPr>
      <w:u w:val="single"/>
    </w:rPr>
  </w:style>
  <w:style w:type="paragraph" w:customStyle="1" w:styleId="TableBodyTextRight">
    <w:name w:val="Table Body Text Right"/>
    <w:basedOn w:val="TableBodyText"/>
    <w:rsid w:val="00B541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411A"/>
    <w:rPr>
      <w:sz w:val="18"/>
    </w:rPr>
  </w:style>
  <w:style w:type="paragraph" w:customStyle="1" w:styleId="BodySmallRight">
    <w:name w:val="Body Small Right"/>
    <w:basedOn w:val="BodyTextRight"/>
    <w:rsid w:val="00B5411A"/>
    <w:rPr>
      <w:sz w:val="18"/>
      <w:szCs w:val="18"/>
    </w:rPr>
  </w:style>
  <w:style w:type="paragraph" w:customStyle="1" w:styleId="MarginEdition">
    <w:name w:val="Margin Edition"/>
    <w:basedOn w:val="MarginNote"/>
    <w:rsid w:val="00B541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411A"/>
    <w:rPr>
      <w:sz w:val="2"/>
      <w:szCs w:val="2"/>
    </w:rPr>
  </w:style>
  <w:style w:type="character" w:customStyle="1" w:styleId="Small">
    <w:name w:val="Small"/>
    <w:basedOn w:val="DefaultParagraphFont"/>
    <w:rsid w:val="00B5411A"/>
    <w:rPr>
      <w:sz w:val="16"/>
    </w:rPr>
  </w:style>
  <w:style w:type="paragraph" w:customStyle="1" w:styleId="WideTable">
    <w:name w:val="Wide Table"/>
    <w:basedOn w:val="Normal"/>
    <w:rsid w:val="00B541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411A"/>
  </w:style>
  <w:style w:type="paragraph" w:styleId="Quote">
    <w:name w:val="Quote"/>
    <w:basedOn w:val="Heading1"/>
    <w:link w:val="QuoteChar"/>
    <w:qFormat/>
    <w:rsid w:val="00B541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41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411A"/>
    <w:pPr>
      <w:pageBreakBefore/>
    </w:pPr>
  </w:style>
  <w:style w:type="paragraph" w:customStyle="1" w:styleId="Border">
    <w:name w:val="Border"/>
    <w:basedOn w:val="Normal"/>
    <w:qFormat/>
    <w:rsid w:val="00B541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41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1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1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41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41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41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41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41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411A"/>
    <w:rPr>
      <w:u w:val="single"/>
    </w:rPr>
  </w:style>
  <w:style w:type="character" w:customStyle="1" w:styleId="BoldandItalics">
    <w:name w:val="Bold and Italics"/>
    <w:qFormat/>
    <w:rsid w:val="00B5411A"/>
    <w:rPr>
      <w:b/>
      <w:i/>
      <w:u w:val="none"/>
    </w:rPr>
  </w:style>
  <w:style w:type="paragraph" w:styleId="BalloonText">
    <w:name w:val="Balloon Text"/>
    <w:basedOn w:val="Normal"/>
    <w:link w:val="BalloonTextChar"/>
    <w:rsid w:val="00B541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41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41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41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41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41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41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C31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3692</Characters>
  <Application>Microsoft Office Word</Application>
  <DocSecurity>0</DocSecurity>
  <Lines>99</Lines>
  <Paragraphs>82</Paragraphs>
  <ScaleCrop>false</ScaleCrop>
  <Company>Author-it Software Corporation Ltd.</Company>
  <LinksUpToDate>false</LinksUpToDate>
  <CharactersWithSpaces>4127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AHCMAR306 Operate mobile underwater vehicles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2025-02-11T07:03:00Z</dcterms:created>
  <dcterms:modified xsi:type="dcterms:W3CDTF">2025-02-11T07:03:00Z</dcterms:modified>
</cp:coreProperties>
</file>