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10A" w:rsidP="00087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AHCLSK370 Monitor pen condition and ration suitability</w:t>
      </w:r>
      <w:r>
        <w:fldChar w:fldCharType="end"/>
      </w:r>
    </w:p>
    <w:p w:rsidR="0008710A" w:rsidP="0008710A">
      <w:pPr>
        <w:pStyle w:val="Version"/>
        <w:sectPr w:rsidSect="007F2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752" w:rsidP="007F2752">
      <w:pPr>
        <w:pStyle w:val="SuperHeading"/>
      </w:pPr>
      <w:r w:rsidRPr="007F2752">
        <w:t>AHCLSK370 Monitor pen condition and ration suitability</w:t>
      </w:r>
    </w:p>
    <w:p w:rsidR="00000000" w:rsidRPr="007F2752" w:rsidP="007F2752">
      <w:pPr>
        <w:pStyle w:val="Heading1"/>
      </w:pPr>
      <w:bookmarkStart w:id="1" w:name="O_1287277"/>
      <w:bookmarkEnd w:id="1"/>
      <w:r w:rsidRPr="007F27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Bold"/>
              <w:rPr>
                <w:lang w:val="en-NZ"/>
              </w:rPr>
            </w:pPr>
            <w:r w:rsidRPr="007F275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Bold"/>
              <w:rPr>
                <w:lang w:val="en-NZ"/>
              </w:rPr>
            </w:pPr>
            <w:r w:rsidRPr="007F2752">
              <w:t>Comments</w:t>
            </w:r>
          </w:p>
        </w:tc>
      </w:tr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752" w:rsidP="007F2752">
            <w:pPr>
              <w:pStyle w:val="BodyText"/>
            </w:pPr>
            <w:r w:rsidRPr="007F2752">
              <w:t>This version released with AHC Agriculture, Horticulture and Conservation and Land Management Training Package Release 11.0.</w:t>
            </w:r>
          </w:p>
        </w:tc>
      </w:tr>
    </w:tbl>
    <w:p w:rsidR="00000000" w:rsidRPr="007F2752" w:rsidP="007F2752">
      <w:pPr>
        <w:pStyle w:val="BodyText"/>
      </w:pPr>
    </w:p>
    <w:p w:rsidR="00000000" w:rsidRPr="007F2752" w:rsidP="007F2752">
      <w:pPr>
        <w:pStyle w:val="AllowPageBreak"/>
      </w:pPr>
    </w:p>
    <w:p w:rsidR="00000000" w:rsidRPr="007F2752" w:rsidP="007F2752">
      <w:pPr>
        <w:pStyle w:val="Heading1"/>
      </w:pPr>
      <w:bookmarkStart w:id="2" w:name="O_1287278"/>
      <w:bookmarkEnd w:id="2"/>
      <w:r w:rsidRPr="007F2752">
        <w:t>Application</w:t>
      </w:r>
    </w:p>
    <w:p w:rsidR="00000000" w:rsidRPr="007F2752" w:rsidP="0008710A">
      <w:pPr>
        <w:pStyle w:val="BodyText"/>
      </w:pPr>
      <w:r w:rsidRPr="007F2752">
        <w:t>This unit of competency describ</w:t>
      </w:r>
      <w:r w:rsidRPr="007F2752">
        <w:t>es the skills and knowledge required to monitor the suitability of rations and pen conditions for livestock.</w:t>
      </w:r>
    </w:p>
    <w:p w:rsidR="00000000" w:rsidRPr="007F2752" w:rsidP="0008710A">
      <w:pPr>
        <w:pStyle w:val="BodyText"/>
      </w:pPr>
      <w:r w:rsidRPr="007F2752">
        <w:t>The unit applies to individuals who monitor pen condition and ration suitability under broad direction and take responsibility for their own work.</w:t>
      </w:r>
    </w:p>
    <w:p w:rsidR="00000000" w:rsidRPr="007F2752" w:rsidP="0008710A">
      <w:pPr>
        <w:pStyle w:val="BodyText"/>
      </w:pPr>
      <w:r w:rsidRPr="007F2752">
        <w:t xml:space="preserve">All work must be carried out to comply with workplace procedures, according to state/territory health and safety regulations, legislation and standards that apply to the workplace, and animal welfare legislation, regulations, standards and guidelines, and </w:t>
      </w:r>
      <w:r w:rsidRPr="007F2752">
        <w:t>sustainability and biosecurity practices.</w:t>
      </w:r>
    </w:p>
    <w:p w:rsidR="00000000" w:rsidRPr="007F2752" w:rsidP="0008710A">
      <w:pPr>
        <w:pStyle w:val="BodyText"/>
      </w:pPr>
      <w:r w:rsidRPr="007F2752">
        <w:t>In addition to legal responsibilities, all units of competency dealing with animals in the AHC Agriculture, Horticulture and Conservation and Land Management Training Package have the requirements for animals to be</w:t>
      </w:r>
      <w:r w:rsidRPr="007F2752">
        <w:t xml:space="preserve"> handled humanely to minimise stress and discomfort.</w:t>
      </w:r>
    </w:p>
    <w:p w:rsidR="00000000" w:rsidRPr="007F2752" w:rsidP="0008710A">
      <w:pPr>
        <w:pStyle w:val="BodyText"/>
      </w:pPr>
      <w:r w:rsidRPr="007F2752">
        <w:t>No licensing, legislative or certification requirements apply to this unit at the time of publication.</w:t>
      </w:r>
    </w:p>
    <w:p w:rsidR="00000000" w:rsidRPr="007F2752" w:rsidP="007F2752">
      <w:pPr>
        <w:pStyle w:val="Heading1"/>
      </w:pPr>
      <w:bookmarkStart w:id="3" w:name="O_1287279"/>
      <w:bookmarkEnd w:id="3"/>
      <w:r w:rsidRPr="007F2752">
        <w:t>Pre-requisite Unit</w:t>
      </w:r>
    </w:p>
    <w:p w:rsidR="00000000" w:rsidRPr="007F2752" w:rsidP="0008710A">
      <w:pPr>
        <w:pStyle w:val="BodyText"/>
      </w:pPr>
      <w:r w:rsidRPr="007F2752">
        <w:t>Nil</w:t>
      </w:r>
    </w:p>
    <w:p w:rsidR="00000000" w:rsidRPr="007F2752" w:rsidP="007F2752">
      <w:pPr>
        <w:pStyle w:val="Heading1"/>
      </w:pPr>
      <w:bookmarkStart w:id="4" w:name="O_1287281"/>
      <w:bookmarkEnd w:id="4"/>
      <w:r w:rsidRPr="007F2752">
        <w:t>Unit Sector</w:t>
      </w:r>
    </w:p>
    <w:p w:rsidR="00000000" w:rsidRPr="007F2752" w:rsidP="0008710A">
      <w:pPr>
        <w:pStyle w:val="BodyText"/>
      </w:pPr>
      <w:r w:rsidRPr="007F2752">
        <w:t>Livestock (LSK)</w:t>
      </w:r>
    </w:p>
    <w:p w:rsidR="00000000" w:rsidRPr="007F2752" w:rsidP="007F2752">
      <w:pPr>
        <w:pStyle w:val="Heading1"/>
      </w:pPr>
      <w:bookmarkStart w:id="5" w:name="O_1287282"/>
      <w:bookmarkEnd w:id="5"/>
      <w:r w:rsidRPr="007F27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Bold"/>
              <w:rPr>
                <w:lang w:val="en-NZ"/>
              </w:rPr>
            </w:pPr>
            <w:r w:rsidRPr="007F275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Bold"/>
              <w:rPr>
                <w:lang w:val="en-NZ"/>
              </w:rPr>
            </w:pPr>
            <w:r w:rsidRPr="007F2752">
              <w:t>Performance Criteria</w:t>
            </w:r>
          </w:p>
        </w:tc>
      </w:tr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Performance criteria describe the performance needed to demonstrate achievement of the element.</w:t>
            </w:r>
          </w:p>
        </w:tc>
      </w:tr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 xml:space="preserve">1. Monitor ration and </w:t>
            </w:r>
            <w:r w:rsidRPr="007F2752">
              <w:t>water levels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752" w:rsidP="007F2752">
            <w:pPr>
              <w:pStyle w:val="BodyText"/>
            </w:pPr>
            <w:r w:rsidRPr="007F2752">
              <w:t>1.1 Iden</w:t>
            </w:r>
            <w:r w:rsidRPr="007F2752">
              <w:t xml:space="preserve">tify ration ingredients and composition information from </w:t>
            </w:r>
            <w:r w:rsidRPr="007F2752">
              <w:t>workplace livestock production or feed plans</w:t>
            </w:r>
          </w:p>
          <w:p w:rsidR="00000000" w:rsidRPr="007F2752" w:rsidP="007F2752">
            <w:pPr>
              <w:pStyle w:val="BodyText"/>
            </w:pPr>
            <w:r w:rsidRPr="007F2752">
              <w:t>1.2 Assess ration levels, composition and consistency and identify potential production and health issues for different pens and classes of livestock</w:t>
            </w:r>
          </w:p>
          <w:p w:rsidR="00000000" w:rsidRPr="007F2752" w:rsidP="007F2752">
            <w:pPr>
              <w:pStyle w:val="BodyText"/>
            </w:pPr>
            <w:r w:rsidRPr="007F2752">
              <w:t xml:space="preserve">1.3 </w:t>
            </w:r>
            <w:r w:rsidRPr="007F2752">
              <w:t>Identify strategies for removing wet, mouldy and fouled ration from bunks, and preventing livestock from access to unsuitable rations</w:t>
            </w:r>
          </w:p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1.4 Assess water quantity and quality to meet requirements of livestock</w:t>
            </w:r>
          </w:p>
        </w:tc>
      </w:tr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2. Inspect pen status and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752" w:rsidP="007F2752">
            <w:pPr>
              <w:pStyle w:val="BodyText"/>
            </w:pPr>
            <w:r w:rsidRPr="007F2752">
              <w:t>2.1 Source information on pen group status from workplace livestock production plan</w:t>
            </w:r>
          </w:p>
          <w:p w:rsidR="00000000" w:rsidRPr="007F2752" w:rsidP="007F2752">
            <w:pPr>
              <w:pStyle w:val="BodyText"/>
            </w:pPr>
            <w:r w:rsidRPr="007F2752">
              <w:t>2.2 Assess pen infrastructure, feed bunks, feed apron and water troughs together with animal feeding behaviour and identify performance and potential issues</w:t>
            </w:r>
          </w:p>
          <w:p w:rsidR="00000000" w:rsidRPr="007F2752" w:rsidP="007F2752">
            <w:pPr>
              <w:pStyle w:val="BodyText"/>
            </w:pPr>
            <w:r w:rsidRPr="007F2752">
              <w:t>2.3 Identify st</w:t>
            </w:r>
            <w:r w:rsidRPr="007F2752">
              <w:t>rategies to control leaking troughs, and prevent livestock from access to damaged pen or feeding areas</w:t>
            </w:r>
          </w:p>
          <w:p w:rsidR="00000000" w:rsidRPr="007F2752" w:rsidP="007F2752">
            <w:pPr>
              <w:pStyle w:val="BodyText"/>
            </w:pPr>
            <w:r w:rsidRPr="007F2752">
              <w:t>2.4 Assess pen surface conditions and behaviours of livestock in consideration of prevailing weather conditions</w:t>
            </w:r>
          </w:p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2.5 Identify strategies for adjusting sto</w:t>
            </w:r>
            <w:r w:rsidRPr="007F2752">
              <w:t>cking density, providing access to shade, modifying pen drainage, cleaning pen and modifying the ration</w:t>
            </w:r>
          </w:p>
        </w:tc>
      </w:tr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3. Assess manure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752" w:rsidP="007F2752">
            <w:pPr>
              <w:pStyle w:val="BodyText"/>
            </w:pPr>
            <w:r w:rsidRPr="007F2752">
              <w:t>3.1 Assess manure consistency and colour as indicators of individual animal and herd health</w:t>
            </w:r>
          </w:p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3.2 Identify strategies for incr</w:t>
            </w:r>
            <w:r w:rsidRPr="007F2752">
              <w:t>easing roughage in ration, courser processing of grains and adjusting rations for sick animals</w:t>
            </w:r>
          </w:p>
        </w:tc>
      </w:tr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4. Check pen hygiene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752" w:rsidP="007F2752">
            <w:pPr>
              <w:pStyle w:val="BodyText"/>
            </w:pPr>
            <w:r w:rsidRPr="007F2752">
              <w:t>4.1 Assess feed bunks, feed aprons and water troughs for fouling and unhygienic build-ups of waste</w:t>
            </w:r>
          </w:p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4.2 Identify strategies for resolving an</w:t>
            </w:r>
            <w:r w:rsidRPr="007F2752">
              <w:t>imal production and health issues, workplace health and safety concerns, and cleaning of pens to prevent odour and insect problems</w:t>
            </w:r>
          </w:p>
        </w:tc>
      </w:tr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5. Report and record incidents as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752" w:rsidP="007F2752">
            <w:pPr>
              <w:pStyle w:val="BodyText"/>
            </w:pPr>
            <w:r w:rsidRPr="007F2752">
              <w:t>5.1 Report incidents and problems to supervisor</w:t>
            </w:r>
          </w:p>
          <w:p w:rsidR="00000000" w:rsidRPr="007F2752" w:rsidP="007F2752">
            <w:pPr>
              <w:pStyle w:val="BodyText"/>
            </w:pPr>
            <w:r w:rsidRPr="007F2752">
              <w:t xml:space="preserve">5.2 Record incidents and adopted </w:t>
            </w:r>
            <w:r w:rsidRPr="007F2752">
              <w:t>strategies, and monitor effectiveness of strategies</w:t>
            </w:r>
          </w:p>
        </w:tc>
      </w:tr>
    </w:tbl>
    <w:p w:rsidR="00000000" w:rsidRPr="007F2752" w:rsidP="007F2752">
      <w:pPr>
        <w:pStyle w:val="BodyText"/>
      </w:pPr>
    </w:p>
    <w:p w:rsidR="00000000" w:rsidRPr="007F2752" w:rsidP="007F2752">
      <w:pPr>
        <w:pStyle w:val="AllowPageBreak"/>
      </w:pPr>
    </w:p>
    <w:p w:rsidR="00000000" w:rsidRPr="007F2752" w:rsidP="007F2752">
      <w:pPr>
        <w:pStyle w:val="Heading1"/>
      </w:pPr>
      <w:bookmarkStart w:id="6" w:name="O_1287283"/>
      <w:bookmarkEnd w:id="6"/>
      <w:r w:rsidRPr="007F2752">
        <w:t>Foundation Skills</w:t>
      </w:r>
    </w:p>
    <w:p w:rsidR="00000000" w:rsidRPr="0008710A" w:rsidP="0008710A">
      <w:pPr>
        <w:pStyle w:val="BodyText"/>
        <w:rPr>
          <w:i/>
        </w:rPr>
      </w:pPr>
      <w:r w:rsidRPr="0008710A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08710A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Bold"/>
              <w:rPr>
                <w:lang w:val="en-NZ"/>
              </w:rPr>
            </w:pPr>
            <w:r w:rsidRPr="007F275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Bold"/>
              <w:rPr>
                <w:lang w:val="en-NZ"/>
              </w:rPr>
            </w:pPr>
            <w:r w:rsidRPr="007F2752">
              <w:t>Description</w:t>
            </w:r>
          </w:p>
        </w:tc>
      </w:tr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ListBullet"/>
              <w:rPr>
                <w:lang w:val="en-NZ"/>
              </w:rPr>
            </w:pPr>
            <w:r w:rsidRPr="007F2752">
              <w:t>Identify and interpret workplace documentation to identify relevant and key information about ration ingredients and composition, and workplace livestock production and feeding plan requirem</w:t>
            </w:r>
            <w:r w:rsidRPr="007F2752">
              <w:t>ents</w:t>
            </w:r>
          </w:p>
        </w:tc>
      </w:tr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ListBullet"/>
              <w:rPr>
                <w:lang w:val="en-NZ"/>
              </w:rPr>
            </w:pPr>
            <w:r w:rsidRPr="007F2752">
              <w:t>Use clear language, accurate industry terminology and logical structure to record incidents and adopted strategies</w:t>
            </w:r>
          </w:p>
        </w:tc>
      </w:tr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752" w:rsidP="007F2752">
            <w:pPr>
              <w:pStyle w:val="ListBullet"/>
            </w:pPr>
            <w:r w:rsidRPr="007F2752">
              <w:t>Use clear language to report incidents and problems</w:t>
            </w:r>
          </w:p>
          <w:p w:rsidR="00000000" w:rsidRPr="007F2752" w:rsidP="007F2752">
            <w:pPr>
              <w:pStyle w:val="ListBullet"/>
            </w:pPr>
            <w:r w:rsidRPr="007F2752">
              <w:t>Respond to questions and clarify information</w:t>
            </w:r>
          </w:p>
        </w:tc>
      </w:tr>
    </w:tbl>
    <w:p w:rsidR="00000000" w:rsidRPr="007F2752" w:rsidP="007F2752">
      <w:pPr>
        <w:pStyle w:val="BodyText"/>
      </w:pPr>
    </w:p>
    <w:p w:rsidR="00000000" w:rsidRPr="007F2752" w:rsidP="007F2752">
      <w:pPr>
        <w:pStyle w:val="AllowPageBreak"/>
      </w:pPr>
    </w:p>
    <w:p w:rsidR="00000000" w:rsidRPr="007F2752" w:rsidP="007F2752">
      <w:pPr>
        <w:pStyle w:val="Heading1"/>
      </w:pPr>
      <w:bookmarkStart w:id="7" w:name="O_1287285"/>
      <w:bookmarkEnd w:id="7"/>
      <w:r w:rsidRPr="007F275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Bold"/>
              <w:rPr>
                <w:lang w:val="en-NZ"/>
              </w:rPr>
            </w:pPr>
            <w:r w:rsidRPr="007F275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Bold"/>
              <w:rPr>
                <w:lang w:val="en-NZ"/>
              </w:rPr>
            </w:pPr>
            <w:r w:rsidRPr="007F275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Bold"/>
              <w:rPr>
                <w:lang w:val="en-NZ"/>
              </w:rPr>
            </w:pPr>
            <w:r w:rsidRPr="007F275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Bold"/>
              <w:rPr>
                <w:lang w:val="en-NZ"/>
              </w:rPr>
            </w:pPr>
            <w:r w:rsidRPr="007F2752">
              <w:t>Equivalence status</w:t>
            </w:r>
          </w:p>
        </w:tc>
      </w:tr>
      <w:tr w:rsidTr="007F2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AHCLSK370 Monitor pen condition and ration suitability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AHCLSK333 Monitor pen condition and ration suitability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752" w:rsidP="007F2752">
            <w:pPr>
              <w:pStyle w:val="BodyText"/>
            </w:pPr>
            <w:r w:rsidRPr="007F2752">
              <w:t>Minor changes to application</w:t>
            </w:r>
          </w:p>
          <w:p w:rsidR="00000000" w:rsidRPr="007F2752" w:rsidP="007F2752">
            <w:pPr>
              <w:pStyle w:val="BodyText"/>
            </w:pPr>
            <w:r w:rsidRPr="007F2752">
              <w:t>Minor changes to elements and performance criteria</w:t>
            </w:r>
          </w:p>
          <w:p w:rsidR="00000000" w:rsidRPr="007F2752" w:rsidP="007F2752">
            <w:pPr>
              <w:pStyle w:val="BodyText"/>
            </w:pPr>
            <w:r w:rsidRPr="007F2752">
              <w:t>Foundation skills added</w:t>
            </w:r>
          </w:p>
          <w:p w:rsidR="00000000" w:rsidP="007F2752">
            <w:pPr>
              <w:pStyle w:val="BodyText"/>
              <w:rPr>
                <w:lang w:val="en-NZ"/>
              </w:rPr>
            </w:pPr>
            <w:r w:rsidRPr="007F275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752" w:rsidP="007F2752">
            <w:pPr>
              <w:pStyle w:val="BodyText"/>
            </w:pPr>
            <w:r w:rsidRPr="007F2752">
              <w:t>Equivalent</w:t>
            </w:r>
          </w:p>
        </w:tc>
      </w:tr>
    </w:tbl>
    <w:p w:rsidR="00000000" w:rsidRPr="007F2752" w:rsidP="007F2752">
      <w:pPr>
        <w:pStyle w:val="BodyText"/>
      </w:pPr>
    </w:p>
    <w:p w:rsidR="00000000" w:rsidRPr="007F2752" w:rsidP="007F2752">
      <w:pPr>
        <w:pStyle w:val="AllowPageBreak"/>
      </w:pPr>
    </w:p>
    <w:p w:rsidR="00000000" w:rsidRPr="007F2752" w:rsidP="007F2752">
      <w:pPr>
        <w:pStyle w:val="Heading1"/>
      </w:pPr>
      <w:bookmarkStart w:id="8" w:name="O_1287292"/>
      <w:bookmarkEnd w:id="8"/>
      <w:r w:rsidRPr="007F2752">
        <w:t>Links</w:t>
      </w:r>
    </w:p>
    <w:p w:rsidR="00000000" w:rsidRPr="007F2752" w:rsidP="0008710A">
      <w:pPr>
        <w:pStyle w:val="BodyText"/>
      </w:pPr>
      <w:r w:rsidRPr="007F27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69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2752" w:rsidP="007F2752"/>
    <w:sectPr w:rsidSect="007F27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52" w:rsidRPr="0008710A" w:rsidP="00087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0A" w:rsidP="007F2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10A" w:rsidP="007F2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710A" w:rsidP="007F2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752" w:rsidRPr="0008710A" w:rsidP="000871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0A" w:rsidRPr="002D2AF8" w:rsidP="007F2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AHCLSK370 Monitor pen condition and ration suitability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710A" w:rsidP="007F2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3A4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3E5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752"/>
  </w:style>
  <w:style w:type="character" w:customStyle="1" w:styleId="Heading1Char">
    <w:name w:val="Heading 1 Char"/>
    <w:basedOn w:val="DefaultParagraphFont"/>
    <w:link w:val="Heading1"/>
    <w:rsid w:val="007F2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7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75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F2752"/>
    <w:rPr>
      <w:i/>
    </w:rPr>
  </w:style>
  <w:style w:type="paragraph" w:customStyle="1" w:styleId="SuperHeading">
    <w:name w:val="SuperHeading"/>
    <w:basedOn w:val="Normal"/>
    <w:rsid w:val="007F2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2752"/>
    <w:rPr>
      <w:b/>
    </w:rPr>
  </w:style>
  <w:style w:type="character" w:customStyle="1" w:styleId="Heading2Char">
    <w:name w:val="Heading 2 Char"/>
    <w:basedOn w:val="DefaultParagraphFont"/>
    <w:link w:val="Heading2"/>
    <w:rsid w:val="007F2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7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7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752"/>
    <w:rPr>
      <w:b/>
      <w:spacing w:val="0"/>
    </w:rPr>
  </w:style>
  <w:style w:type="paragraph" w:customStyle="1" w:styleId="SuperTitle">
    <w:name w:val="SuperTitle"/>
    <w:basedOn w:val="Title"/>
    <w:rsid w:val="007F2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7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7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2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752"/>
  </w:style>
  <w:style w:type="paragraph" w:styleId="TableofFigures">
    <w:name w:val="table of figures"/>
    <w:basedOn w:val="Normal"/>
    <w:next w:val="Normal"/>
    <w:semiHidden/>
    <w:rsid w:val="007F2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7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2752"/>
    <w:rPr>
      <w:rFonts w:ascii="Wingdings" w:hAnsi="Wingdings"/>
    </w:rPr>
  </w:style>
  <w:style w:type="paragraph" w:customStyle="1" w:styleId="TableHeading">
    <w:name w:val="Table Heading"/>
    <w:basedOn w:val="HeadingBase"/>
    <w:rsid w:val="007F2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752"/>
    <w:rPr>
      <w:color w:val="0033CC"/>
      <w:u w:val="none"/>
    </w:rPr>
  </w:style>
  <w:style w:type="paragraph" w:customStyle="1" w:styleId="BodyTextRight">
    <w:name w:val="Body Text Right"/>
    <w:basedOn w:val="BodyText"/>
    <w:rsid w:val="007F2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7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752"/>
    <w:rPr>
      <w:sz w:val="32"/>
    </w:rPr>
  </w:style>
  <w:style w:type="paragraph" w:customStyle="1" w:styleId="HeadingProcedure">
    <w:name w:val="Heading Procedure"/>
    <w:basedOn w:val="HeadingBase"/>
    <w:next w:val="Normal"/>
    <w:rsid w:val="007F2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752"/>
    <w:pPr>
      <w:spacing w:before="60" w:after="60"/>
    </w:pPr>
  </w:style>
  <w:style w:type="paragraph" w:styleId="ListContinue">
    <w:name w:val="List Continue"/>
    <w:basedOn w:val="List"/>
    <w:rsid w:val="007F2752"/>
    <w:pPr>
      <w:ind w:firstLine="0"/>
    </w:pPr>
  </w:style>
  <w:style w:type="paragraph" w:customStyle="1" w:styleId="ListNote">
    <w:name w:val="List Note"/>
    <w:basedOn w:val="List"/>
    <w:rsid w:val="007F2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752"/>
    <w:rPr>
      <w:rFonts w:ascii="Courier New" w:hAnsi="Courier New"/>
    </w:rPr>
  </w:style>
  <w:style w:type="paragraph" w:customStyle="1" w:styleId="NoteBullet">
    <w:name w:val="Note Bullet"/>
    <w:basedOn w:val="Note"/>
    <w:rsid w:val="007F2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7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752"/>
    <w:rPr>
      <w:b/>
      <w:smallCaps/>
    </w:rPr>
  </w:style>
  <w:style w:type="paragraph" w:customStyle="1" w:styleId="TableListNumber">
    <w:name w:val="Table List Number"/>
    <w:basedOn w:val="ListNumber"/>
    <w:rsid w:val="007F2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752"/>
    <w:pPr>
      <w:numPr>
        <w:numId w:val="8"/>
      </w:numPr>
    </w:pPr>
  </w:style>
  <w:style w:type="paragraph" w:customStyle="1" w:styleId="ListAlpha2">
    <w:name w:val="List Alpha 2"/>
    <w:basedOn w:val="List2"/>
    <w:rsid w:val="007F2752"/>
    <w:pPr>
      <w:numPr>
        <w:numId w:val="7"/>
      </w:numPr>
    </w:pPr>
  </w:style>
  <w:style w:type="paragraph" w:styleId="List2">
    <w:name w:val="List 2"/>
    <w:basedOn w:val="BodyText"/>
    <w:rsid w:val="007F2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7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7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7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2752"/>
    <w:pPr>
      <w:numPr>
        <w:numId w:val="3"/>
      </w:numPr>
    </w:pPr>
  </w:style>
  <w:style w:type="paragraph" w:styleId="ListContinue2">
    <w:name w:val="List Continue 2"/>
    <w:basedOn w:val="List2"/>
    <w:rsid w:val="007F2752"/>
    <w:pPr>
      <w:ind w:firstLine="0"/>
    </w:pPr>
  </w:style>
  <w:style w:type="paragraph" w:styleId="ListContinue3">
    <w:name w:val="List Continue 3"/>
    <w:basedOn w:val="List3"/>
    <w:rsid w:val="007F2752"/>
    <w:pPr>
      <w:ind w:left="1021" w:firstLine="0"/>
    </w:pPr>
  </w:style>
  <w:style w:type="paragraph" w:styleId="ListContinue4">
    <w:name w:val="List Continue 4"/>
    <w:basedOn w:val="List4"/>
    <w:rsid w:val="007F2752"/>
    <w:pPr>
      <w:ind w:firstLine="0"/>
    </w:pPr>
  </w:style>
  <w:style w:type="paragraph" w:styleId="ListContinue5">
    <w:name w:val="List Continue 5"/>
    <w:basedOn w:val="List5"/>
    <w:rsid w:val="007F2752"/>
    <w:pPr>
      <w:ind w:firstLine="0"/>
    </w:pPr>
  </w:style>
  <w:style w:type="paragraph" w:styleId="ListNumber3">
    <w:name w:val="List Number 3"/>
    <w:basedOn w:val="List3"/>
    <w:rsid w:val="007F2752"/>
    <w:pPr>
      <w:numPr>
        <w:numId w:val="4"/>
      </w:numPr>
    </w:pPr>
  </w:style>
  <w:style w:type="paragraph" w:styleId="ListNumber4">
    <w:name w:val="List Number 4"/>
    <w:basedOn w:val="List4"/>
    <w:rsid w:val="007F2752"/>
    <w:pPr>
      <w:numPr>
        <w:numId w:val="5"/>
      </w:numPr>
    </w:pPr>
  </w:style>
  <w:style w:type="paragraph" w:styleId="ListNumber5">
    <w:name w:val="List Number 5"/>
    <w:basedOn w:val="List5"/>
    <w:rsid w:val="007F2752"/>
    <w:pPr>
      <w:numPr>
        <w:numId w:val="6"/>
      </w:numPr>
    </w:pPr>
  </w:style>
  <w:style w:type="paragraph" w:styleId="BlockText">
    <w:name w:val="Block Text"/>
    <w:basedOn w:val="Normal"/>
    <w:rsid w:val="007F2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752"/>
    <w:rPr>
      <w:sz w:val="16"/>
      <w:vertAlign w:val="superscript"/>
    </w:rPr>
  </w:style>
  <w:style w:type="character" w:customStyle="1" w:styleId="Symbols">
    <w:name w:val="Symbols"/>
    <w:basedOn w:val="DefaultParagraphFont"/>
    <w:rsid w:val="007F2752"/>
    <w:rPr>
      <w:rFonts w:ascii="Symbol" w:hAnsi="Symbol"/>
    </w:rPr>
  </w:style>
  <w:style w:type="character" w:customStyle="1" w:styleId="MenuOptions">
    <w:name w:val="Menu Options"/>
    <w:basedOn w:val="DefaultParagraphFont"/>
    <w:rsid w:val="007F2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752"/>
    <w:rPr>
      <w:b/>
    </w:rPr>
  </w:style>
  <w:style w:type="character" w:customStyle="1" w:styleId="Underlined">
    <w:name w:val="Underlined"/>
    <w:basedOn w:val="DefaultParagraphFont"/>
    <w:rsid w:val="007F2752"/>
    <w:rPr>
      <w:u w:val="single"/>
    </w:rPr>
  </w:style>
  <w:style w:type="paragraph" w:customStyle="1" w:styleId="TableBodyTextRight">
    <w:name w:val="Table Body Text Right"/>
    <w:basedOn w:val="TableBodyText"/>
    <w:rsid w:val="007F2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752"/>
    <w:rPr>
      <w:sz w:val="18"/>
    </w:rPr>
  </w:style>
  <w:style w:type="paragraph" w:customStyle="1" w:styleId="BodySmallRight">
    <w:name w:val="Body Small Right"/>
    <w:basedOn w:val="BodyTextRight"/>
    <w:rsid w:val="007F2752"/>
    <w:rPr>
      <w:sz w:val="18"/>
      <w:szCs w:val="18"/>
    </w:rPr>
  </w:style>
  <w:style w:type="paragraph" w:customStyle="1" w:styleId="MarginEdition">
    <w:name w:val="Margin Edition"/>
    <w:basedOn w:val="MarginNote"/>
    <w:rsid w:val="007F2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752"/>
    <w:rPr>
      <w:sz w:val="2"/>
      <w:szCs w:val="2"/>
    </w:rPr>
  </w:style>
  <w:style w:type="character" w:customStyle="1" w:styleId="Small">
    <w:name w:val="Small"/>
    <w:basedOn w:val="DefaultParagraphFont"/>
    <w:rsid w:val="007F2752"/>
    <w:rPr>
      <w:sz w:val="16"/>
    </w:rPr>
  </w:style>
  <w:style w:type="paragraph" w:customStyle="1" w:styleId="WideTable">
    <w:name w:val="Wide Table"/>
    <w:basedOn w:val="Normal"/>
    <w:rsid w:val="007F2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752"/>
  </w:style>
  <w:style w:type="paragraph" w:styleId="Quote">
    <w:name w:val="Quote"/>
    <w:basedOn w:val="Heading1"/>
    <w:link w:val="QuoteChar"/>
    <w:qFormat/>
    <w:rsid w:val="007F2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752"/>
    <w:pPr>
      <w:pageBreakBefore/>
    </w:pPr>
  </w:style>
  <w:style w:type="paragraph" w:customStyle="1" w:styleId="Border">
    <w:name w:val="Border"/>
    <w:basedOn w:val="Normal"/>
    <w:qFormat/>
    <w:rsid w:val="007F2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752"/>
    <w:rPr>
      <w:u w:val="single"/>
    </w:rPr>
  </w:style>
  <w:style w:type="character" w:customStyle="1" w:styleId="BoldandItalics">
    <w:name w:val="Bold and Italics"/>
    <w:qFormat/>
    <w:rsid w:val="007F2752"/>
    <w:rPr>
      <w:b/>
      <w:i/>
      <w:u w:val="none"/>
    </w:rPr>
  </w:style>
  <w:style w:type="paragraph" w:styleId="BalloonText">
    <w:name w:val="Balloon Text"/>
    <w:basedOn w:val="Normal"/>
    <w:link w:val="BalloonTextChar"/>
    <w:rsid w:val="007F2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7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71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4141</Characters>
  <Application>Microsoft Office Word</Application>
  <DocSecurity>0</DocSecurity>
  <Lines>142</Lines>
  <Paragraphs>81</Paragraphs>
  <ScaleCrop>false</ScaleCrop>
  <Company>Author-it Software Corporation Ltd.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AHCLSK370 Monitor pen condition and ration suitability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