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765" w:rsidP="006C47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AHCLSK346 Carry out post-mortem examination of livestock</w:t>
      </w:r>
      <w:r>
        <w:fldChar w:fldCharType="end"/>
      </w:r>
    </w:p>
    <w:p w:rsidR="006C4765" w:rsidP="006C4765">
      <w:pPr>
        <w:pStyle w:val="Version"/>
        <w:sectPr w:rsidSect="001068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68F2" w:rsidP="001068F2">
      <w:pPr>
        <w:pStyle w:val="SuperHeading"/>
      </w:pPr>
      <w:r w:rsidRPr="001068F2">
        <w:t>Assessment Requirements for AHCLSK346 Carry out post-mortem examination of livestock</w:t>
      </w:r>
    </w:p>
    <w:p w:rsidR="00000000" w:rsidRPr="001068F2" w:rsidP="001068F2">
      <w:pPr>
        <w:pStyle w:val="Heading1"/>
      </w:pPr>
      <w:bookmarkStart w:id="1" w:name="O_1286790"/>
      <w:bookmarkEnd w:id="1"/>
      <w:r w:rsidRPr="001068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68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8F2">
            <w:pPr>
              <w:pStyle w:val="BodyTextBold"/>
              <w:rPr>
                <w:lang w:val="en-NZ"/>
              </w:rPr>
            </w:pPr>
            <w:r w:rsidRPr="001068F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8F2">
            <w:pPr>
              <w:pStyle w:val="BodyTextBold"/>
              <w:rPr>
                <w:lang w:val="en-NZ"/>
              </w:rPr>
            </w:pPr>
            <w:r w:rsidRPr="001068F2">
              <w:t>Comments</w:t>
            </w:r>
          </w:p>
        </w:tc>
      </w:tr>
      <w:tr w:rsidTr="001068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8F2">
            <w:pPr>
              <w:pStyle w:val="BodyText"/>
              <w:rPr>
                <w:lang w:val="en-NZ"/>
              </w:rPr>
            </w:pPr>
            <w:r w:rsidRPr="001068F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8F2" w:rsidP="001068F2">
            <w:pPr>
              <w:pStyle w:val="BodyText"/>
            </w:pPr>
            <w:r w:rsidRPr="001068F2">
              <w:t>This version released with AHC Agriculture, Horticulture and Conservation and Land Management Training Package Release 11.0.</w:t>
            </w:r>
          </w:p>
        </w:tc>
      </w:tr>
    </w:tbl>
    <w:p w:rsidR="00000000" w:rsidRPr="001068F2" w:rsidP="001068F2">
      <w:pPr>
        <w:pStyle w:val="BodyText"/>
      </w:pPr>
    </w:p>
    <w:p w:rsidR="00000000" w:rsidRPr="001068F2" w:rsidP="001068F2">
      <w:pPr>
        <w:pStyle w:val="AllowPageBreak"/>
      </w:pPr>
    </w:p>
    <w:p w:rsidR="00000000" w:rsidRPr="001068F2" w:rsidP="001068F2">
      <w:pPr>
        <w:pStyle w:val="Heading1"/>
      </w:pPr>
      <w:bookmarkStart w:id="2" w:name="O_1286791"/>
      <w:bookmarkEnd w:id="2"/>
      <w:r w:rsidRPr="001068F2">
        <w:t>Performance Evidence</w:t>
      </w:r>
    </w:p>
    <w:p w:rsidR="00000000" w:rsidRPr="001068F2" w:rsidP="006C4765">
      <w:pPr>
        <w:pStyle w:val="BodyText"/>
      </w:pPr>
      <w:r w:rsidRPr="001068F2">
        <w:t>An individual demonstrating competency must satisfy all of the elements and performance c</w:t>
      </w:r>
      <w:r w:rsidRPr="001068F2">
        <w:t>riteria in this unit.</w:t>
      </w:r>
    </w:p>
    <w:p w:rsidR="00000000" w:rsidRPr="001068F2" w:rsidP="006C4765">
      <w:pPr>
        <w:pStyle w:val="BodyText"/>
      </w:pPr>
      <w:r w:rsidRPr="001068F2">
        <w:t>There must be evidence that the individual has carried out post-mortem examination of livestock on at least two occasions, and has:</w:t>
      </w:r>
    </w:p>
    <w:p w:rsidR="00000000" w:rsidRPr="001068F2" w:rsidP="001068F2">
      <w:pPr>
        <w:pStyle w:val="ListBullet"/>
      </w:pPr>
      <w:r w:rsidRPr="001068F2">
        <w:t>applied relevant workplace health and safety and environment and biosecurity legislation, regulations</w:t>
      </w:r>
      <w:r w:rsidRPr="001068F2">
        <w:t xml:space="preserve"> and workplace procedures</w:t>
      </w:r>
    </w:p>
    <w:p w:rsidR="00000000" w:rsidRPr="001068F2" w:rsidP="001068F2">
      <w:pPr>
        <w:pStyle w:val="ListBullet"/>
      </w:pPr>
      <w:r w:rsidRPr="001068F2">
        <w:t>recognised and reported workplace health and safety and biosecurity hazards and used safe work practices</w:t>
      </w:r>
    </w:p>
    <w:p w:rsidR="00000000" w:rsidRPr="001068F2" w:rsidP="001068F2">
      <w:pPr>
        <w:pStyle w:val="ListBullet"/>
      </w:pPr>
      <w:r w:rsidRPr="001068F2">
        <w:t>prepared for post-mortem, ensuring appropriate handling and use of equipment, personal protective equipment (PPE) and disinfectants</w:t>
      </w:r>
    </w:p>
    <w:p w:rsidR="00000000" w:rsidRPr="001068F2" w:rsidP="001068F2">
      <w:pPr>
        <w:pStyle w:val="ListBullet"/>
      </w:pPr>
      <w:r w:rsidRPr="001068F2">
        <w:t>handled and disposed of carcass according to workplace procedures</w:t>
      </w:r>
    </w:p>
    <w:p w:rsidR="00000000" w:rsidRPr="001068F2" w:rsidP="001068F2">
      <w:pPr>
        <w:pStyle w:val="ListBullet"/>
      </w:pPr>
      <w:r w:rsidRPr="001068F2">
        <w:t>performed external examination and post-mortem examination</w:t>
      </w:r>
      <w:r w:rsidRPr="001068F2">
        <w:t xml:space="preserve"> of carcass</w:t>
      </w:r>
    </w:p>
    <w:p w:rsidR="00000000" w:rsidRPr="001068F2" w:rsidP="001068F2">
      <w:pPr>
        <w:pStyle w:val="ListBullet"/>
      </w:pPr>
      <w:r w:rsidRPr="001068F2">
        <w:t>carried out post-necropsy procedures of cleaning and disinfection of equipment, site and PPE</w:t>
      </w:r>
    </w:p>
    <w:p w:rsidR="00000000" w:rsidRPr="001068F2" w:rsidP="001068F2">
      <w:pPr>
        <w:pStyle w:val="ListBullet"/>
      </w:pPr>
      <w:r w:rsidRPr="001068F2">
        <w:t>prepared biological samples for sending to the laboratory where appropriate</w:t>
      </w:r>
    </w:p>
    <w:p w:rsidR="00000000" w:rsidRPr="001068F2" w:rsidP="001068F2">
      <w:pPr>
        <w:pStyle w:val="ListBullet"/>
      </w:pPr>
      <w:r w:rsidRPr="001068F2">
        <w:t>applied personal hygiene procedures.</w:t>
      </w:r>
    </w:p>
    <w:p w:rsidR="00000000" w:rsidRPr="001068F2" w:rsidP="001068F2">
      <w:pPr>
        <w:pStyle w:val="AllowPageBreak"/>
      </w:pPr>
    </w:p>
    <w:p w:rsidR="00000000" w:rsidRPr="001068F2" w:rsidP="001068F2">
      <w:pPr>
        <w:pStyle w:val="Heading1"/>
      </w:pPr>
      <w:bookmarkStart w:id="3" w:name="O_1286792"/>
      <w:bookmarkEnd w:id="3"/>
      <w:r w:rsidRPr="001068F2">
        <w:t>Knowledge Evidence</w:t>
      </w:r>
    </w:p>
    <w:p w:rsidR="00000000" w:rsidRPr="001068F2" w:rsidP="006C4765">
      <w:pPr>
        <w:pStyle w:val="BodyText"/>
      </w:pPr>
      <w:r w:rsidRPr="001068F2">
        <w:t>An individual must be able to demonstrate knowledge required to perform the tasks outlined in the elements and performance criteria of this unit. This includes knowledge of:</w:t>
      </w:r>
    </w:p>
    <w:p w:rsidR="00000000" w:rsidRPr="001068F2" w:rsidP="001068F2">
      <w:pPr>
        <w:pStyle w:val="ListBullet"/>
      </w:pPr>
      <w:r w:rsidRPr="001068F2">
        <w:t>workplace requirements applicable to health and safety in the workplace for post-</w:t>
      </w:r>
      <w:r w:rsidRPr="001068F2">
        <w:t>mortem examination of livestock, including appropriate use of PPE</w:t>
      </w:r>
    </w:p>
    <w:p w:rsidR="00000000" w:rsidRPr="001068F2" w:rsidP="001068F2">
      <w:pPr>
        <w:pStyle w:val="ListBullet"/>
      </w:pPr>
      <w:r w:rsidRPr="001068F2">
        <w:t>environment and biosecurity legislation and regulations and workplace practices relevant to post-mortem examination of livestock</w:t>
      </w:r>
    </w:p>
    <w:p w:rsidR="00000000" w:rsidRPr="001068F2" w:rsidP="001068F2">
      <w:pPr>
        <w:pStyle w:val="ListBullet"/>
      </w:pPr>
      <w:r w:rsidRPr="001068F2">
        <w:t>principles and practices for post-mortem examination of lives</w:t>
      </w:r>
      <w:r w:rsidRPr="001068F2">
        <w:t>tock, including:</w:t>
      </w:r>
    </w:p>
    <w:p w:rsidR="00000000" w:rsidRPr="001068F2" w:rsidP="001068F2">
      <w:pPr>
        <w:pStyle w:val="ListBullet2"/>
      </w:pPr>
      <w:r w:rsidRPr="001068F2">
        <w:t>sequence of actions in conducting a post-mortem examination</w:t>
      </w:r>
    </w:p>
    <w:p w:rsidR="00000000" w:rsidRPr="001068F2" w:rsidP="001068F2">
      <w:pPr>
        <w:pStyle w:val="ListBullet2"/>
      </w:pPr>
      <w:r w:rsidRPr="001068F2">
        <w:t>appropriate handling and use of post-mortem equipment and disinfectants</w:t>
      </w:r>
    </w:p>
    <w:p w:rsidR="00000000" w:rsidRPr="001068F2" w:rsidP="001068F2">
      <w:pPr>
        <w:pStyle w:val="ListBullet2"/>
      </w:pPr>
      <w:r w:rsidRPr="001068F2">
        <w:t>requirements for correct preparation, labelling, packaging and storage of biological samples</w:t>
      </w:r>
    </w:p>
    <w:p w:rsidR="00000000" w:rsidRPr="001068F2" w:rsidP="001068F2">
      <w:pPr>
        <w:pStyle w:val="ListBullet2"/>
      </w:pPr>
      <w:r w:rsidRPr="001068F2">
        <w:t>anatomy and physical features of the species being examined</w:t>
      </w:r>
    </w:p>
    <w:p w:rsidR="00000000" w:rsidRPr="001068F2" w:rsidP="001068F2">
      <w:pPr>
        <w:pStyle w:val="ListBullet2"/>
      </w:pPr>
      <w:r w:rsidRPr="001068F2">
        <w:t>common causes of death for the species being examined</w:t>
      </w:r>
    </w:p>
    <w:p w:rsidR="00000000" w:rsidRPr="001068F2" w:rsidP="001068F2">
      <w:pPr>
        <w:pStyle w:val="ListBullet2"/>
      </w:pPr>
      <w:r w:rsidRPr="001068F2">
        <w:t>typical signs of pathology in major organs</w:t>
      </w:r>
    </w:p>
    <w:p w:rsidR="00000000" w:rsidRPr="001068F2" w:rsidP="001068F2">
      <w:pPr>
        <w:pStyle w:val="ListBullet2"/>
      </w:pPr>
      <w:r w:rsidRPr="001068F2">
        <w:t>typical symptoms and clinical signs of notifiable diseases in the relevant species</w:t>
      </w:r>
    </w:p>
    <w:p w:rsidR="00000000" w:rsidRPr="001068F2" w:rsidP="001068F2">
      <w:pPr>
        <w:pStyle w:val="ListBullet2"/>
      </w:pPr>
      <w:r w:rsidRPr="001068F2">
        <w:t>relevant workpla</w:t>
      </w:r>
      <w:r w:rsidRPr="001068F2">
        <w:t>ce and regulatory requirements for carcass disposal.</w:t>
      </w:r>
    </w:p>
    <w:p w:rsidR="00000000" w:rsidRPr="001068F2" w:rsidP="001068F2">
      <w:pPr>
        <w:pStyle w:val="AllowPageBreak"/>
      </w:pPr>
    </w:p>
    <w:p w:rsidR="00000000" w:rsidRPr="001068F2" w:rsidP="001068F2">
      <w:pPr>
        <w:pStyle w:val="Heading1"/>
      </w:pPr>
      <w:bookmarkStart w:id="4" w:name="O_1286793"/>
      <w:bookmarkEnd w:id="4"/>
      <w:r w:rsidRPr="001068F2">
        <w:t>Assessment Conditions</w:t>
      </w:r>
    </w:p>
    <w:p w:rsidR="00000000" w:rsidRPr="001068F2" w:rsidP="006C4765">
      <w:pPr>
        <w:pStyle w:val="BodyText"/>
      </w:pPr>
      <w:r w:rsidRPr="001068F2">
        <w:t>Assessment of the skills in this unit of competency must take place under the following conditions:</w:t>
      </w:r>
    </w:p>
    <w:p w:rsidR="00000000" w:rsidRPr="001068F2" w:rsidP="001068F2">
      <w:pPr>
        <w:pStyle w:val="ListBullet"/>
      </w:pPr>
      <w:r w:rsidRPr="001068F2">
        <w:t>physical conditions:</w:t>
      </w:r>
    </w:p>
    <w:p w:rsidR="00000000" w:rsidRPr="001068F2" w:rsidP="001068F2">
      <w:pPr>
        <w:pStyle w:val="ListBullet2"/>
      </w:pPr>
      <w:r w:rsidRPr="001068F2">
        <w:t>a workplace setting or an environment t</w:t>
      </w:r>
      <w:r w:rsidRPr="001068F2">
        <w:t>hat accurately represents workplace conditions</w:t>
      </w:r>
    </w:p>
    <w:p w:rsidR="00000000" w:rsidRPr="001068F2" w:rsidP="001068F2">
      <w:pPr>
        <w:pStyle w:val="ListBullet"/>
      </w:pPr>
      <w:r w:rsidRPr="001068F2">
        <w:t>resources, equipment and materials:</w:t>
      </w:r>
    </w:p>
    <w:p w:rsidR="00000000" w:rsidRPr="001068F2" w:rsidP="001068F2">
      <w:pPr>
        <w:pStyle w:val="ListBullet2"/>
      </w:pPr>
      <w:r w:rsidRPr="001068F2">
        <w:t>work instructions and workplace procedures applicable to post-mortem examination of livestock</w:t>
      </w:r>
    </w:p>
    <w:p w:rsidR="00000000" w:rsidRPr="001068F2" w:rsidP="001068F2">
      <w:pPr>
        <w:pStyle w:val="ListBullet2"/>
      </w:pPr>
      <w:r w:rsidRPr="001068F2">
        <w:t>equipment and resources applicable to post-mortem examination of livestock</w:t>
      </w:r>
    </w:p>
    <w:p w:rsidR="00000000" w:rsidRPr="001068F2" w:rsidP="001068F2">
      <w:pPr>
        <w:pStyle w:val="ListBullet2"/>
      </w:pPr>
      <w:r w:rsidRPr="001068F2">
        <w:t>PPE applicable to post-mortem examination of livestock</w:t>
      </w:r>
    </w:p>
    <w:p w:rsidR="00000000" w:rsidRPr="001068F2" w:rsidP="001068F2">
      <w:pPr>
        <w:pStyle w:val="ListBullet2"/>
      </w:pPr>
      <w:r w:rsidRPr="001068F2">
        <w:t>livestock carcasses suitable for post-mortem examination</w:t>
      </w:r>
    </w:p>
    <w:p w:rsidR="00000000" w:rsidRPr="001068F2" w:rsidP="001068F2">
      <w:pPr>
        <w:pStyle w:val="ListBullet"/>
      </w:pPr>
      <w:r w:rsidRPr="001068F2">
        <w:t>specifications:</w:t>
      </w:r>
    </w:p>
    <w:p w:rsidR="00000000" w:rsidRPr="001068F2" w:rsidP="001068F2">
      <w:pPr>
        <w:pStyle w:val="ListBullet2"/>
      </w:pPr>
      <w:r w:rsidRPr="001068F2">
        <w:t>workplace requirements applicable to health and safety in the workplace for post-mortem examination of livestock</w:t>
      </w:r>
    </w:p>
    <w:p w:rsidR="00000000" w:rsidRPr="001068F2" w:rsidP="001068F2">
      <w:pPr>
        <w:pStyle w:val="ListBullet2"/>
      </w:pPr>
      <w:r w:rsidRPr="001068F2">
        <w:t>environment a</w:t>
      </w:r>
      <w:r w:rsidRPr="001068F2">
        <w:t>nd biosecurity legislation and regulations and workplace practices applicable to post-mortem examination of livestock</w:t>
      </w:r>
    </w:p>
    <w:p w:rsidR="00000000" w:rsidRPr="001068F2" w:rsidP="001068F2">
      <w:pPr>
        <w:pStyle w:val="ListBullet2"/>
      </w:pPr>
      <w:r w:rsidRPr="001068F2">
        <w:t>industry standards, legislation and codes of practice and procedures for post-mortem examination of livestock and carcass disposal</w:t>
      </w:r>
    </w:p>
    <w:p w:rsidR="00000000" w:rsidRPr="001068F2" w:rsidP="001068F2">
      <w:pPr>
        <w:pStyle w:val="ListBullet"/>
      </w:pPr>
      <w:r w:rsidRPr="001068F2">
        <w:t>relati</w:t>
      </w:r>
      <w:r w:rsidRPr="001068F2">
        <w:t>onships:</w:t>
      </w:r>
    </w:p>
    <w:p w:rsidR="00000000" w:rsidRPr="001068F2" w:rsidP="001068F2">
      <w:pPr>
        <w:pStyle w:val="ListBullet2"/>
      </w:pPr>
      <w:r w:rsidRPr="001068F2">
        <w:t>expert</w:t>
      </w:r>
    </w:p>
    <w:p w:rsidR="00000000" w:rsidRPr="001068F2" w:rsidP="001068F2">
      <w:pPr>
        <w:pStyle w:val="ListBullet"/>
      </w:pPr>
      <w:r w:rsidRPr="001068F2">
        <w:t>time frames:</w:t>
      </w:r>
    </w:p>
    <w:p w:rsidR="00000000" w:rsidRPr="001068F2" w:rsidP="001068F2">
      <w:pPr>
        <w:pStyle w:val="ListBullet2"/>
      </w:pPr>
      <w:r w:rsidRPr="001068F2">
        <w:t>according to job requirements.</w:t>
      </w:r>
    </w:p>
    <w:p w:rsidR="00000000" w:rsidRPr="001068F2" w:rsidP="006C4765">
      <w:pPr>
        <w:pStyle w:val="BodyText"/>
      </w:pPr>
      <w:r w:rsidRPr="001068F2">
        <w:t>Assessment of this unit must be conducted on livestock carcasses.</w:t>
      </w:r>
    </w:p>
    <w:p w:rsidR="006C4765" w:rsidP="006C4765">
      <w:pPr>
        <w:pStyle w:val="BodyText"/>
      </w:pPr>
      <w:r w:rsidRPr="001068F2">
        <w:t>Assessors of this unit must satis</w:t>
      </w:r>
      <w:r w:rsidRPr="001068F2">
        <w:t>fy the requirements for assessors in applicable vocational education and training legislation, frameworks and/or standards.</w:t>
      </w:r>
    </w:p>
    <w:p w:rsidR="00000000" w:rsidRPr="001068F2" w:rsidP="001068F2">
      <w:pPr>
        <w:pStyle w:val="Heading1"/>
      </w:pPr>
      <w:bookmarkStart w:id="5" w:name="O_1286796"/>
      <w:bookmarkEnd w:id="5"/>
      <w:r w:rsidRPr="001068F2">
        <w:t>Links</w:t>
      </w:r>
    </w:p>
    <w:p w:rsidR="00000000" w:rsidRPr="001068F2" w:rsidP="006C4765">
      <w:pPr>
        <w:pStyle w:val="BodyText"/>
      </w:pPr>
      <w:r w:rsidRPr="001068F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D21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068F2" w:rsidP="001068F2"/>
    <w:sectPr w:rsidSect="001068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8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8F2" w:rsidRPr="006C4765" w:rsidP="006C47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8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765" w:rsidP="001068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4765" w:rsidP="001068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4765" w:rsidP="001068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8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7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68F2" w:rsidRPr="006C4765" w:rsidP="006C47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8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765" w:rsidRPr="002D2AF8" w:rsidP="001068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AHCLSK346 Carry out post-mortem examination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C4765" w:rsidP="001068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2855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62C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7EE7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8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68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68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68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68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68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68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68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68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68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68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68F2"/>
  </w:style>
  <w:style w:type="character" w:customStyle="1" w:styleId="Heading1Char">
    <w:name w:val="Heading 1 Char"/>
    <w:basedOn w:val="DefaultParagraphFont"/>
    <w:link w:val="Heading1"/>
    <w:rsid w:val="001068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68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68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68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68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68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68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068F2"/>
    <w:rPr>
      <w:b/>
    </w:rPr>
  </w:style>
  <w:style w:type="character" w:customStyle="1" w:styleId="Heading2Char">
    <w:name w:val="Heading 2 Char"/>
    <w:basedOn w:val="DefaultParagraphFont"/>
    <w:link w:val="Heading2"/>
    <w:rsid w:val="001068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68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68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6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68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6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68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68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68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68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68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68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68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68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68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68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68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68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68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68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68F2"/>
    <w:rPr>
      <w:b/>
      <w:spacing w:val="0"/>
    </w:rPr>
  </w:style>
  <w:style w:type="paragraph" w:customStyle="1" w:styleId="SuperTitle">
    <w:name w:val="SuperTitle"/>
    <w:basedOn w:val="Title"/>
    <w:rsid w:val="001068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68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68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68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68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68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68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68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68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68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68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68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68F2"/>
    <w:rPr>
      <w:i/>
    </w:rPr>
  </w:style>
  <w:style w:type="paragraph" w:styleId="Caption">
    <w:name w:val="caption"/>
    <w:basedOn w:val="BodyText"/>
    <w:next w:val="Normal"/>
    <w:qFormat/>
    <w:rsid w:val="001068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68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68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68F2"/>
  </w:style>
  <w:style w:type="paragraph" w:styleId="TableofFigures">
    <w:name w:val="table of figures"/>
    <w:basedOn w:val="Normal"/>
    <w:next w:val="Normal"/>
    <w:semiHidden/>
    <w:rsid w:val="001068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68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68F2"/>
    <w:rPr>
      <w:rFonts w:ascii="Wingdings" w:hAnsi="Wingdings"/>
    </w:rPr>
  </w:style>
  <w:style w:type="paragraph" w:customStyle="1" w:styleId="TableHeading">
    <w:name w:val="Table Heading"/>
    <w:basedOn w:val="HeadingBase"/>
    <w:rsid w:val="001068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68F2"/>
    <w:rPr>
      <w:color w:val="0033CC"/>
      <w:u w:val="none"/>
    </w:rPr>
  </w:style>
  <w:style w:type="paragraph" w:customStyle="1" w:styleId="BodyTextRight">
    <w:name w:val="Body Text Right"/>
    <w:basedOn w:val="BodyText"/>
    <w:rsid w:val="001068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68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68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68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68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68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68F2"/>
    <w:rPr>
      <w:sz w:val="32"/>
    </w:rPr>
  </w:style>
  <w:style w:type="paragraph" w:customStyle="1" w:styleId="HeadingProcedure">
    <w:name w:val="Heading Procedure"/>
    <w:basedOn w:val="HeadingBase"/>
    <w:next w:val="Normal"/>
    <w:rsid w:val="001068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68F2"/>
    <w:pPr>
      <w:spacing w:before="60" w:after="60"/>
    </w:pPr>
  </w:style>
  <w:style w:type="paragraph" w:styleId="ListContinue">
    <w:name w:val="List Continue"/>
    <w:basedOn w:val="List"/>
    <w:rsid w:val="001068F2"/>
    <w:pPr>
      <w:ind w:firstLine="0"/>
    </w:pPr>
  </w:style>
  <w:style w:type="paragraph" w:customStyle="1" w:styleId="ListNote">
    <w:name w:val="List Note"/>
    <w:basedOn w:val="List"/>
    <w:rsid w:val="001068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68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68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68F2"/>
    <w:rPr>
      <w:rFonts w:ascii="Courier New" w:hAnsi="Courier New"/>
    </w:rPr>
  </w:style>
  <w:style w:type="paragraph" w:customStyle="1" w:styleId="NoteBullet">
    <w:name w:val="Note Bullet"/>
    <w:basedOn w:val="Note"/>
    <w:rsid w:val="001068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68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68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68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68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68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68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68F2"/>
    <w:rPr>
      <w:b/>
      <w:smallCaps/>
    </w:rPr>
  </w:style>
  <w:style w:type="paragraph" w:customStyle="1" w:styleId="TableListNumber">
    <w:name w:val="Table List Number"/>
    <w:basedOn w:val="ListNumber"/>
    <w:rsid w:val="001068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68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68F2"/>
    <w:pPr>
      <w:numPr>
        <w:numId w:val="9"/>
      </w:numPr>
    </w:pPr>
  </w:style>
  <w:style w:type="paragraph" w:customStyle="1" w:styleId="ListAlpha2">
    <w:name w:val="List Alpha 2"/>
    <w:basedOn w:val="List2"/>
    <w:rsid w:val="001068F2"/>
    <w:pPr>
      <w:numPr>
        <w:numId w:val="8"/>
      </w:numPr>
    </w:pPr>
  </w:style>
  <w:style w:type="paragraph" w:styleId="List2">
    <w:name w:val="List 2"/>
    <w:basedOn w:val="BodyText"/>
    <w:rsid w:val="001068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68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68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68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68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68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68F2"/>
    <w:pPr>
      <w:numPr>
        <w:numId w:val="4"/>
      </w:numPr>
    </w:pPr>
  </w:style>
  <w:style w:type="paragraph" w:styleId="ListContinue2">
    <w:name w:val="List Continue 2"/>
    <w:basedOn w:val="List2"/>
    <w:rsid w:val="001068F2"/>
    <w:pPr>
      <w:ind w:firstLine="0"/>
    </w:pPr>
  </w:style>
  <w:style w:type="paragraph" w:styleId="ListContinue3">
    <w:name w:val="List Continue 3"/>
    <w:basedOn w:val="List3"/>
    <w:rsid w:val="001068F2"/>
    <w:pPr>
      <w:ind w:left="1021" w:firstLine="0"/>
    </w:pPr>
  </w:style>
  <w:style w:type="paragraph" w:styleId="ListContinue4">
    <w:name w:val="List Continue 4"/>
    <w:basedOn w:val="List4"/>
    <w:rsid w:val="001068F2"/>
    <w:pPr>
      <w:ind w:firstLine="0"/>
    </w:pPr>
  </w:style>
  <w:style w:type="paragraph" w:styleId="ListContinue5">
    <w:name w:val="List Continue 5"/>
    <w:basedOn w:val="List5"/>
    <w:rsid w:val="001068F2"/>
    <w:pPr>
      <w:ind w:firstLine="0"/>
    </w:pPr>
  </w:style>
  <w:style w:type="paragraph" w:styleId="ListNumber3">
    <w:name w:val="List Number 3"/>
    <w:basedOn w:val="List3"/>
    <w:rsid w:val="001068F2"/>
    <w:pPr>
      <w:numPr>
        <w:numId w:val="5"/>
      </w:numPr>
    </w:pPr>
  </w:style>
  <w:style w:type="paragraph" w:styleId="ListNumber4">
    <w:name w:val="List Number 4"/>
    <w:basedOn w:val="List4"/>
    <w:rsid w:val="001068F2"/>
    <w:pPr>
      <w:numPr>
        <w:numId w:val="6"/>
      </w:numPr>
    </w:pPr>
  </w:style>
  <w:style w:type="paragraph" w:styleId="ListNumber5">
    <w:name w:val="List Number 5"/>
    <w:basedOn w:val="List5"/>
    <w:rsid w:val="001068F2"/>
    <w:pPr>
      <w:numPr>
        <w:numId w:val="7"/>
      </w:numPr>
    </w:pPr>
  </w:style>
  <w:style w:type="paragraph" w:styleId="BlockText">
    <w:name w:val="Block Text"/>
    <w:basedOn w:val="Normal"/>
    <w:rsid w:val="001068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68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68F2"/>
    <w:rPr>
      <w:sz w:val="16"/>
      <w:vertAlign w:val="superscript"/>
    </w:rPr>
  </w:style>
  <w:style w:type="character" w:customStyle="1" w:styleId="Symbols">
    <w:name w:val="Symbols"/>
    <w:basedOn w:val="DefaultParagraphFont"/>
    <w:rsid w:val="001068F2"/>
    <w:rPr>
      <w:rFonts w:ascii="Symbol" w:hAnsi="Symbol"/>
    </w:rPr>
  </w:style>
  <w:style w:type="character" w:customStyle="1" w:styleId="MenuOptions">
    <w:name w:val="Menu Options"/>
    <w:basedOn w:val="DefaultParagraphFont"/>
    <w:rsid w:val="001068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68F2"/>
    <w:rPr>
      <w:b/>
    </w:rPr>
  </w:style>
  <w:style w:type="character" w:customStyle="1" w:styleId="Underlined">
    <w:name w:val="Underlined"/>
    <w:basedOn w:val="DefaultParagraphFont"/>
    <w:rsid w:val="001068F2"/>
    <w:rPr>
      <w:u w:val="single"/>
    </w:rPr>
  </w:style>
  <w:style w:type="paragraph" w:customStyle="1" w:styleId="TableBodyTextRight">
    <w:name w:val="Table Body Text Right"/>
    <w:basedOn w:val="TableBodyText"/>
    <w:rsid w:val="001068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68F2"/>
    <w:rPr>
      <w:sz w:val="18"/>
    </w:rPr>
  </w:style>
  <w:style w:type="paragraph" w:customStyle="1" w:styleId="BodySmallRight">
    <w:name w:val="Body Small Right"/>
    <w:basedOn w:val="BodyTextRight"/>
    <w:rsid w:val="001068F2"/>
    <w:rPr>
      <w:sz w:val="18"/>
      <w:szCs w:val="18"/>
    </w:rPr>
  </w:style>
  <w:style w:type="paragraph" w:customStyle="1" w:styleId="MarginEdition">
    <w:name w:val="Margin Edition"/>
    <w:basedOn w:val="MarginNote"/>
    <w:rsid w:val="001068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68F2"/>
    <w:rPr>
      <w:sz w:val="2"/>
      <w:szCs w:val="2"/>
    </w:rPr>
  </w:style>
  <w:style w:type="character" w:customStyle="1" w:styleId="Small">
    <w:name w:val="Small"/>
    <w:basedOn w:val="DefaultParagraphFont"/>
    <w:rsid w:val="001068F2"/>
    <w:rPr>
      <w:sz w:val="16"/>
    </w:rPr>
  </w:style>
  <w:style w:type="paragraph" w:customStyle="1" w:styleId="WideTable">
    <w:name w:val="Wide Table"/>
    <w:basedOn w:val="Normal"/>
    <w:rsid w:val="001068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68F2"/>
  </w:style>
  <w:style w:type="paragraph" w:styleId="Quote">
    <w:name w:val="Quote"/>
    <w:basedOn w:val="Heading1"/>
    <w:link w:val="QuoteChar"/>
    <w:qFormat/>
    <w:rsid w:val="001068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68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68F2"/>
    <w:pPr>
      <w:pageBreakBefore/>
    </w:pPr>
  </w:style>
  <w:style w:type="paragraph" w:customStyle="1" w:styleId="Border">
    <w:name w:val="Border"/>
    <w:basedOn w:val="Normal"/>
    <w:qFormat/>
    <w:rsid w:val="001068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68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8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8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68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68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68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68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68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68F2"/>
    <w:rPr>
      <w:u w:val="single"/>
    </w:rPr>
  </w:style>
  <w:style w:type="character" w:customStyle="1" w:styleId="BoldandItalics">
    <w:name w:val="Bold and Italics"/>
    <w:qFormat/>
    <w:rsid w:val="001068F2"/>
    <w:rPr>
      <w:b/>
      <w:i/>
      <w:u w:val="none"/>
    </w:rPr>
  </w:style>
  <w:style w:type="paragraph" w:styleId="BalloonText">
    <w:name w:val="Balloon Text"/>
    <w:basedOn w:val="Normal"/>
    <w:link w:val="BalloonTextChar"/>
    <w:rsid w:val="001068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68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68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68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68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68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68F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47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503</Words>
  <Characters>3475</Characters>
  <Application>Microsoft Office Word</Application>
  <DocSecurity>0</DocSecurity>
  <Lines>84</Lines>
  <Paragraphs>62</Paragraphs>
  <ScaleCrop>false</ScaleCrop>
  <Company>Author-it Software Corporation Ltd.</Company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AHCLSK346 Carry out post-mortem examination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