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1F7" w:rsidP="00591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AHCLSK227 Monitor water supplies</w:t>
      </w:r>
      <w:r>
        <w:fldChar w:fldCharType="end"/>
      </w:r>
    </w:p>
    <w:p w:rsidR="005911F7" w:rsidP="005911F7">
      <w:pPr>
        <w:pStyle w:val="Version"/>
        <w:sectPr w:rsidSect="00750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74F" w:rsidP="0075074F">
      <w:pPr>
        <w:pStyle w:val="SuperHeading"/>
      </w:pPr>
      <w:r w:rsidRPr="0075074F">
        <w:t>Assessment Requirements for AHCLSK227 Monitor water supplies</w:t>
      </w:r>
    </w:p>
    <w:p w:rsidR="00000000" w:rsidRPr="0075074F" w:rsidP="0075074F">
      <w:pPr>
        <w:pStyle w:val="Heading1"/>
      </w:pPr>
      <w:bookmarkStart w:id="1" w:name="O_1286511"/>
      <w:bookmarkEnd w:id="1"/>
      <w:r w:rsidRPr="00750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0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74F">
            <w:pPr>
              <w:pStyle w:val="BodyTextBold"/>
              <w:rPr>
                <w:lang w:val="en-NZ"/>
              </w:rPr>
            </w:pPr>
            <w:r w:rsidRPr="007507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74F">
            <w:pPr>
              <w:pStyle w:val="BodyTextBold"/>
              <w:rPr>
                <w:lang w:val="en-NZ"/>
              </w:rPr>
            </w:pPr>
            <w:r w:rsidRPr="0075074F">
              <w:t>Comments</w:t>
            </w:r>
          </w:p>
        </w:tc>
      </w:tr>
      <w:tr w:rsidTr="00750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74F">
            <w:pPr>
              <w:pStyle w:val="BodyText"/>
              <w:rPr>
                <w:lang w:val="en-NZ"/>
              </w:rPr>
            </w:pPr>
            <w:r w:rsidRPr="007507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74F" w:rsidP="0075074F">
            <w:pPr>
              <w:pStyle w:val="BodyText"/>
            </w:pPr>
            <w:r w:rsidRPr="0075074F">
              <w:t>This version released with AHC Agriculture, Horticulture and Conservation and Land Management Training Package Release 11.0.</w:t>
            </w:r>
          </w:p>
        </w:tc>
      </w:tr>
    </w:tbl>
    <w:p w:rsidR="00000000" w:rsidRPr="0075074F" w:rsidP="0075074F">
      <w:pPr>
        <w:pStyle w:val="BodyText"/>
      </w:pPr>
    </w:p>
    <w:p w:rsidR="00000000" w:rsidRPr="0075074F" w:rsidP="0075074F">
      <w:pPr>
        <w:pStyle w:val="AllowPageBreak"/>
      </w:pPr>
    </w:p>
    <w:p w:rsidR="00000000" w:rsidRPr="0075074F" w:rsidP="0075074F">
      <w:pPr>
        <w:pStyle w:val="Heading1"/>
      </w:pPr>
      <w:bookmarkStart w:id="2" w:name="O_1286512"/>
      <w:bookmarkEnd w:id="2"/>
      <w:r w:rsidRPr="0075074F">
        <w:t>Performance Evidence</w:t>
      </w:r>
    </w:p>
    <w:p w:rsidR="00000000" w:rsidRPr="0075074F" w:rsidP="005911F7">
      <w:pPr>
        <w:pStyle w:val="BodyText"/>
      </w:pPr>
      <w:r w:rsidRPr="0075074F">
        <w:t>An individual demonstr</w:t>
      </w:r>
      <w:r w:rsidRPr="0075074F">
        <w:t>ating competency must satisfy all of the elements and performance criteria in this unit.</w:t>
      </w:r>
    </w:p>
    <w:p w:rsidR="00000000" w:rsidRPr="0075074F" w:rsidP="005911F7">
      <w:pPr>
        <w:pStyle w:val="BodyText"/>
      </w:pPr>
      <w:r w:rsidRPr="0075074F">
        <w:t>There must be evidence that the individual has monitored water supplies on at least two occasions, and has:</w:t>
      </w:r>
    </w:p>
    <w:p w:rsidR="00000000" w:rsidRPr="0075074F" w:rsidP="0075074F">
      <w:pPr>
        <w:pStyle w:val="ListBullet"/>
      </w:pPr>
      <w:r w:rsidRPr="0075074F">
        <w:t>followed relevant workplace health and safety and environm</w:t>
      </w:r>
      <w:r w:rsidRPr="0075074F">
        <w:t>ent and biosecurity legislation, regulations and workplace procedures</w:t>
      </w:r>
    </w:p>
    <w:p w:rsidR="00000000" w:rsidRPr="0075074F" w:rsidP="0075074F">
      <w:pPr>
        <w:pStyle w:val="ListBullet"/>
      </w:pPr>
      <w:r w:rsidRPr="0075074F">
        <w:t>recorded and reported water supply information, activities and system performance</w:t>
      </w:r>
    </w:p>
    <w:p w:rsidR="00000000" w:rsidRPr="0075074F" w:rsidP="0075074F">
      <w:pPr>
        <w:pStyle w:val="ListBullet"/>
      </w:pPr>
      <w:r w:rsidRPr="0075074F">
        <w:t>problem-solved to identify potential as well as actual blockages</w:t>
      </w:r>
    </w:p>
    <w:p w:rsidR="00000000" w:rsidRPr="0075074F" w:rsidP="0075074F">
      <w:pPr>
        <w:pStyle w:val="ListBullet"/>
      </w:pPr>
      <w:r w:rsidRPr="0075074F">
        <w:t>checked outflow rates</w:t>
      </w:r>
    </w:p>
    <w:p w:rsidR="00000000" w:rsidRPr="0075074F" w:rsidP="0075074F">
      <w:pPr>
        <w:pStyle w:val="ListBullet"/>
      </w:pPr>
      <w:r w:rsidRPr="0075074F">
        <w:t>cleared blockages using safe working procedures</w:t>
      </w:r>
    </w:p>
    <w:p w:rsidR="00000000" w:rsidRPr="0075074F" w:rsidP="0075074F">
      <w:pPr>
        <w:pStyle w:val="ListBullet"/>
      </w:pPr>
      <w:r w:rsidRPr="0075074F">
        <w:t>checked flow rates</w:t>
      </w:r>
    </w:p>
    <w:p w:rsidR="00000000" w:rsidRPr="0075074F" w:rsidP="0075074F">
      <w:pPr>
        <w:pStyle w:val="ListBullet"/>
      </w:pPr>
      <w:r w:rsidRPr="0075074F">
        <w:t>inspected and reported on water quality and supplies.</w:t>
      </w:r>
    </w:p>
    <w:p w:rsidR="00000000" w:rsidRPr="0075074F" w:rsidP="0075074F">
      <w:pPr>
        <w:pStyle w:val="AllowPageBreak"/>
      </w:pPr>
    </w:p>
    <w:p w:rsidR="00000000" w:rsidRPr="0075074F" w:rsidP="0075074F">
      <w:pPr>
        <w:pStyle w:val="Heading1"/>
      </w:pPr>
      <w:bookmarkStart w:id="3" w:name="O_1286513"/>
      <w:bookmarkEnd w:id="3"/>
      <w:r w:rsidRPr="0075074F">
        <w:t>Knowledge Evidence</w:t>
      </w:r>
    </w:p>
    <w:p w:rsidR="00000000" w:rsidRPr="0075074F" w:rsidP="005911F7">
      <w:pPr>
        <w:pStyle w:val="BodyText"/>
      </w:pPr>
      <w:r w:rsidRPr="0075074F">
        <w:t>An individual must be able to demonstrate knowledge required to perform the tasks outlined in the</w:t>
      </w:r>
      <w:r w:rsidRPr="0075074F">
        <w:t xml:space="preserve"> elements and performance criteria of this unit. This includes knowledge of:</w:t>
      </w:r>
    </w:p>
    <w:p w:rsidR="00000000" w:rsidRPr="0075074F" w:rsidP="0075074F">
      <w:pPr>
        <w:pStyle w:val="ListBullet"/>
      </w:pPr>
      <w:r w:rsidRPr="0075074F">
        <w:t>workplace requirements applicable to health and safety in the workplace for monitoring water supplies</w:t>
      </w:r>
    </w:p>
    <w:p w:rsidR="00000000" w:rsidRPr="0075074F" w:rsidP="0075074F">
      <w:pPr>
        <w:pStyle w:val="ListBullet"/>
      </w:pPr>
      <w:r w:rsidRPr="0075074F">
        <w:t>environment and biosecurity legislation and regulations and workplace practi</w:t>
      </w:r>
      <w:r w:rsidRPr="0075074F">
        <w:t>ces relevant to monitoring water supplies</w:t>
      </w:r>
    </w:p>
    <w:p w:rsidR="00000000" w:rsidRPr="0075074F" w:rsidP="0075074F">
      <w:pPr>
        <w:pStyle w:val="ListBullet"/>
      </w:pPr>
      <w:r w:rsidRPr="0075074F">
        <w:t>principles and practices for monitoring water supplies, including:</w:t>
      </w:r>
    </w:p>
    <w:p w:rsidR="00000000" w:rsidRPr="0075074F" w:rsidP="0075074F">
      <w:pPr>
        <w:pStyle w:val="ListBullet2"/>
      </w:pPr>
      <w:r w:rsidRPr="0075074F">
        <w:t>types of water delivery systems, including mechanical and solar, their components and operation</w:t>
      </w:r>
    </w:p>
    <w:p w:rsidR="00000000" w:rsidRPr="0075074F" w:rsidP="0075074F">
      <w:pPr>
        <w:pStyle w:val="ListBullet2"/>
      </w:pPr>
      <w:r w:rsidRPr="0075074F">
        <w:t>common water quality problems</w:t>
      </w:r>
    </w:p>
    <w:p w:rsidR="00000000" w:rsidRPr="0075074F" w:rsidP="0075074F">
      <w:pPr>
        <w:pStyle w:val="ListBullet2"/>
      </w:pPr>
      <w:r w:rsidRPr="0075074F">
        <w:t>workplace procedures for carrying out inspections, and recording and reporting water information and system performance</w:t>
      </w:r>
    </w:p>
    <w:p w:rsidR="00000000" w:rsidRPr="0075074F" w:rsidP="0075074F">
      <w:pPr>
        <w:pStyle w:val="ListBullet2"/>
      </w:pPr>
      <w:r w:rsidRPr="0075074F">
        <w:t>procedures for water supplies.</w:t>
      </w:r>
    </w:p>
    <w:p w:rsidR="00000000" w:rsidRPr="0075074F" w:rsidP="0075074F">
      <w:pPr>
        <w:pStyle w:val="AllowPageBreak"/>
      </w:pPr>
    </w:p>
    <w:p w:rsidR="00000000" w:rsidRPr="0075074F" w:rsidP="0075074F">
      <w:pPr>
        <w:pStyle w:val="Heading1"/>
      </w:pPr>
      <w:bookmarkStart w:id="4" w:name="O_1286514"/>
      <w:bookmarkEnd w:id="4"/>
      <w:r w:rsidRPr="0075074F">
        <w:t>Assessment Conditions</w:t>
      </w:r>
    </w:p>
    <w:p w:rsidR="00000000" w:rsidRPr="0075074F" w:rsidP="005911F7">
      <w:pPr>
        <w:pStyle w:val="BodyText"/>
      </w:pPr>
      <w:r w:rsidRPr="0075074F">
        <w:t>Assessment of the skills in this unit of competency must take pl</w:t>
      </w:r>
      <w:r w:rsidRPr="0075074F">
        <w:t>ace under the following conditions:</w:t>
      </w:r>
    </w:p>
    <w:p w:rsidR="00000000" w:rsidRPr="0075074F" w:rsidP="0075074F">
      <w:pPr>
        <w:pStyle w:val="ListBullet"/>
      </w:pPr>
      <w:r w:rsidRPr="0075074F">
        <w:t>physical conditions:</w:t>
      </w:r>
    </w:p>
    <w:p w:rsidR="00000000" w:rsidRPr="0075074F" w:rsidP="0075074F">
      <w:pPr>
        <w:pStyle w:val="ListBullet2"/>
      </w:pPr>
      <w:r w:rsidRPr="0075074F">
        <w:t>a workplace setting or an environment that accurately represents workplace conditions</w:t>
      </w:r>
    </w:p>
    <w:p w:rsidR="00000000" w:rsidRPr="0075074F" w:rsidP="0075074F">
      <w:pPr>
        <w:pStyle w:val="ListBullet"/>
      </w:pPr>
      <w:r w:rsidRPr="0075074F">
        <w:t>resources, equipment and materials:</w:t>
      </w:r>
    </w:p>
    <w:p w:rsidR="00000000" w:rsidRPr="0075074F" w:rsidP="0075074F">
      <w:pPr>
        <w:pStyle w:val="ListBullet2"/>
      </w:pPr>
      <w:r w:rsidRPr="0075074F">
        <w:t>work instructions and workplace procedures applicable to monitoring water</w:t>
      </w:r>
      <w:r w:rsidRPr="0075074F">
        <w:t xml:space="preserve"> supplies</w:t>
      </w:r>
    </w:p>
    <w:p w:rsidR="00000000" w:rsidRPr="0075074F" w:rsidP="0075074F">
      <w:pPr>
        <w:pStyle w:val="ListBullet2"/>
      </w:pPr>
      <w:r w:rsidRPr="0075074F">
        <w:t>facilities, materials and equipment applicable to monitoring water supplies</w:t>
      </w:r>
    </w:p>
    <w:p w:rsidR="00000000" w:rsidRPr="0075074F" w:rsidP="0075074F">
      <w:pPr>
        <w:pStyle w:val="ListBullet"/>
      </w:pPr>
      <w:r w:rsidRPr="0075074F">
        <w:t>specifications:</w:t>
      </w:r>
    </w:p>
    <w:p w:rsidR="00000000" w:rsidRPr="0075074F" w:rsidP="0075074F">
      <w:pPr>
        <w:pStyle w:val="ListBullet2"/>
      </w:pPr>
      <w:r w:rsidRPr="0075074F">
        <w:t>workplace requirements applicable to health and safety in the workplace for monitoring water supplies</w:t>
      </w:r>
    </w:p>
    <w:p w:rsidR="00000000" w:rsidRPr="0075074F" w:rsidP="0075074F">
      <w:pPr>
        <w:pStyle w:val="ListBullet2"/>
      </w:pPr>
      <w:r w:rsidRPr="0075074F">
        <w:t>environment and biosecurity legislation and regulations and workplace practices applicable to monitoring water supplies</w:t>
      </w:r>
    </w:p>
    <w:p w:rsidR="00000000" w:rsidRPr="0075074F" w:rsidP="0075074F">
      <w:pPr>
        <w:pStyle w:val="ListBullet2"/>
      </w:pPr>
      <w:r w:rsidRPr="0075074F">
        <w:t>workplace and procedures applicable to monitoring water supplies</w:t>
      </w:r>
    </w:p>
    <w:p w:rsidR="00000000" w:rsidRPr="0075074F" w:rsidP="0075074F">
      <w:pPr>
        <w:pStyle w:val="ListBullet"/>
      </w:pPr>
      <w:r w:rsidRPr="0075074F">
        <w:t>relationships:</w:t>
      </w:r>
    </w:p>
    <w:p w:rsidR="00000000" w:rsidRPr="0075074F" w:rsidP="0075074F">
      <w:pPr>
        <w:pStyle w:val="ListBullet2"/>
      </w:pPr>
      <w:r w:rsidRPr="0075074F">
        <w:t>supervisor</w:t>
      </w:r>
    </w:p>
    <w:p w:rsidR="00000000" w:rsidRPr="0075074F" w:rsidP="0075074F">
      <w:pPr>
        <w:pStyle w:val="ListBullet"/>
      </w:pPr>
      <w:r w:rsidRPr="0075074F">
        <w:t>time frames:</w:t>
      </w:r>
    </w:p>
    <w:p w:rsidR="00000000" w:rsidRPr="0075074F" w:rsidP="0075074F">
      <w:pPr>
        <w:pStyle w:val="ListBullet2"/>
      </w:pPr>
      <w:r w:rsidRPr="0075074F">
        <w:t>according to job requirement</w:t>
      </w:r>
      <w:r w:rsidRPr="0075074F">
        <w:t>s.</w:t>
      </w:r>
    </w:p>
    <w:p w:rsidR="005911F7" w:rsidP="005911F7">
      <w:pPr>
        <w:pStyle w:val="BodyText"/>
      </w:pPr>
      <w:r w:rsidRPr="0075074F">
        <w:t>Assessors of this unit must satisfy the requirements for assessors in applicable vocational education and training legislation, frameworks and/or standards.</w:t>
      </w:r>
    </w:p>
    <w:p w:rsidR="00000000" w:rsidRPr="0075074F" w:rsidP="0075074F">
      <w:pPr>
        <w:pStyle w:val="Heading1"/>
      </w:pPr>
      <w:bookmarkStart w:id="5" w:name="O_1286517"/>
      <w:bookmarkEnd w:id="5"/>
      <w:r w:rsidRPr="0075074F">
        <w:t>Links</w:t>
      </w:r>
    </w:p>
    <w:p w:rsidR="00000000" w:rsidRPr="0075074F" w:rsidP="005911F7">
      <w:pPr>
        <w:pStyle w:val="BodyText"/>
      </w:pPr>
      <w:r w:rsidRPr="0075074F">
        <w:t>Companion Volumes, including Implementation Guides, are available at V</w:t>
      </w:r>
      <w:r w:rsidRPr="0075074F">
        <w:t xml:space="preserve">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72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074F" w:rsidP="0075074F"/>
    <w:sectPr w:rsidSect="00750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4F" w:rsidRPr="005911F7" w:rsidP="00591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1F7" w:rsidP="00750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1F7" w:rsidP="00750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1F7" w:rsidP="00750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74F" w:rsidRPr="005911F7" w:rsidP="00591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1F7" w:rsidRPr="002D2AF8" w:rsidP="00750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AHCLSK227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11F7" w:rsidP="00750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23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01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6C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74F"/>
  </w:style>
  <w:style w:type="character" w:customStyle="1" w:styleId="Heading1Char">
    <w:name w:val="Heading 1 Char"/>
    <w:basedOn w:val="DefaultParagraphFont"/>
    <w:link w:val="Heading1"/>
    <w:rsid w:val="00750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7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7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074F"/>
    <w:rPr>
      <w:b/>
    </w:rPr>
  </w:style>
  <w:style w:type="character" w:customStyle="1" w:styleId="Heading2Char">
    <w:name w:val="Heading 2 Char"/>
    <w:basedOn w:val="DefaultParagraphFont"/>
    <w:link w:val="Heading2"/>
    <w:rsid w:val="00750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74F"/>
    <w:rPr>
      <w:b/>
      <w:spacing w:val="0"/>
    </w:rPr>
  </w:style>
  <w:style w:type="paragraph" w:customStyle="1" w:styleId="SuperTitle">
    <w:name w:val="SuperTitle"/>
    <w:basedOn w:val="Title"/>
    <w:rsid w:val="00750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74F"/>
    <w:rPr>
      <w:i/>
    </w:rPr>
  </w:style>
  <w:style w:type="paragraph" w:styleId="Caption">
    <w:name w:val="caption"/>
    <w:basedOn w:val="BodyText"/>
    <w:next w:val="Normal"/>
    <w:qFormat/>
    <w:rsid w:val="00750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74F"/>
  </w:style>
  <w:style w:type="paragraph" w:styleId="TableofFigures">
    <w:name w:val="table of figures"/>
    <w:basedOn w:val="Normal"/>
    <w:next w:val="Normal"/>
    <w:semiHidden/>
    <w:rsid w:val="00750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7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74F"/>
    <w:rPr>
      <w:rFonts w:ascii="Wingdings" w:hAnsi="Wingdings"/>
    </w:rPr>
  </w:style>
  <w:style w:type="paragraph" w:customStyle="1" w:styleId="TableHeading">
    <w:name w:val="Table Heading"/>
    <w:basedOn w:val="HeadingBase"/>
    <w:rsid w:val="00750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74F"/>
    <w:rPr>
      <w:color w:val="0033CC"/>
      <w:u w:val="none"/>
    </w:rPr>
  </w:style>
  <w:style w:type="paragraph" w:customStyle="1" w:styleId="BodyTextRight">
    <w:name w:val="Body Text Right"/>
    <w:basedOn w:val="BodyText"/>
    <w:rsid w:val="00750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74F"/>
    <w:rPr>
      <w:sz w:val="32"/>
    </w:rPr>
  </w:style>
  <w:style w:type="paragraph" w:customStyle="1" w:styleId="HeadingProcedure">
    <w:name w:val="Heading Procedure"/>
    <w:basedOn w:val="HeadingBase"/>
    <w:next w:val="Normal"/>
    <w:rsid w:val="00750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74F"/>
    <w:pPr>
      <w:spacing w:before="60" w:after="60"/>
    </w:pPr>
  </w:style>
  <w:style w:type="paragraph" w:styleId="ListContinue">
    <w:name w:val="List Continue"/>
    <w:basedOn w:val="List"/>
    <w:rsid w:val="0075074F"/>
    <w:pPr>
      <w:ind w:firstLine="0"/>
    </w:pPr>
  </w:style>
  <w:style w:type="paragraph" w:customStyle="1" w:styleId="ListNote">
    <w:name w:val="List Note"/>
    <w:basedOn w:val="List"/>
    <w:rsid w:val="00750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74F"/>
    <w:rPr>
      <w:rFonts w:ascii="Courier New" w:hAnsi="Courier New"/>
    </w:rPr>
  </w:style>
  <w:style w:type="paragraph" w:customStyle="1" w:styleId="NoteBullet">
    <w:name w:val="Note Bullet"/>
    <w:basedOn w:val="Note"/>
    <w:rsid w:val="00750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74F"/>
    <w:rPr>
      <w:b/>
      <w:smallCaps/>
    </w:rPr>
  </w:style>
  <w:style w:type="paragraph" w:customStyle="1" w:styleId="TableListNumber">
    <w:name w:val="Table List Number"/>
    <w:basedOn w:val="ListNumber"/>
    <w:rsid w:val="00750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74F"/>
    <w:pPr>
      <w:numPr>
        <w:numId w:val="9"/>
      </w:numPr>
    </w:pPr>
  </w:style>
  <w:style w:type="paragraph" w:customStyle="1" w:styleId="ListAlpha2">
    <w:name w:val="List Alpha 2"/>
    <w:basedOn w:val="List2"/>
    <w:rsid w:val="0075074F"/>
    <w:pPr>
      <w:numPr>
        <w:numId w:val="8"/>
      </w:numPr>
    </w:pPr>
  </w:style>
  <w:style w:type="paragraph" w:styleId="List2">
    <w:name w:val="List 2"/>
    <w:basedOn w:val="BodyText"/>
    <w:rsid w:val="00750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74F"/>
    <w:pPr>
      <w:numPr>
        <w:numId w:val="4"/>
      </w:numPr>
    </w:pPr>
  </w:style>
  <w:style w:type="paragraph" w:styleId="ListContinue2">
    <w:name w:val="List Continue 2"/>
    <w:basedOn w:val="List2"/>
    <w:rsid w:val="0075074F"/>
    <w:pPr>
      <w:ind w:firstLine="0"/>
    </w:pPr>
  </w:style>
  <w:style w:type="paragraph" w:styleId="ListContinue3">
    <w:name w:val="List Continue 3"/>
    <w:basedOn w:val="List3"/>
    <w:rsid w:val="0075074F"/>
    <w:pPr>
      <w:ind w:left="1021" w:firstLine="0"/>
    </w:pPr>
  </w:style>
  <w:style w:type="paragraph" w:styleId="ListContinue4">
    <w:name w:val="List Continue 4"/>
    <w:basedOn w:val="List4"/>
    <w:rsid w:val="0075074F"/>
    <w:pPr>
      <w:ind w:firstLine="0"/>
    </w:pPr>
  </w:style>
  <w:style w:type="paragraph" w:styleId="ListContinue5">
    <w:name w:val="List Continue 5"/>
    <w:basedOn w:val="List5"/>
    <w:rsid w:val="0075074F"/>
    <w:pPr>
      <w:ind w:firstLine="0"/>
    </w:pPr>
  </w:style>
  <w:style w:type="paragraph" w:styleId="ListNumber3">
    <w:name w:val="List Number 3"/>
    <w:basedOn w:val="List3"/>
    <w:rsid w:val="0075074F"/>
    <w:pPr>
      <w:numPr>
        <w:numId w:val="5"/>
      </w:numPr>
    </w:pPr>
  </w:style>
  <w:style w:type="paragraph" w:styleId="ListNumber4">
    <w:name w:val="List Number 4"/>
    <w:basedOn w:val="List4"/>
    <w:rsid w:val="0075074F"/>
    <w:pPr>
      <w:numPr>
        <w:numId w:val="6"/>
      </w:numPr>
    </w:pPr>
  </w:style>
  <w:style w:type="paragraph" w:styleId="ListNumber5">
    <w:name w:val="List Number 5"/>
    <w:basedOn w:val="List5"/>
    <w:rsid w:val="0075074F"/>
    <w:pPr>
      <w:numPr>
        <w:numId w:val="7"/>
      </w:numPr>
    </w:pPr>
  </w:style>
  <w:style w:type="paragraph" w:styleId="BlockText">
    <w:name w:val="Block Text"/>
    <w:basedOn w:val="Normal"/>
    <w:rsid w:val="00750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74F"/>
    <w:rPr>
      <w:sz w:val="16"/>
      <w:vertAlign w:val="superscript"/>
    </w:rPr>
  </w:style>
  <w:style w:type="character" w:customStyle="1" w:styleId="Symbols">
    <w:name w:val="Symbols"/>
    <w:basedOn w:val="DefaultParagraphFont"/>
    <w:rsid w:val="0075074F"/>
    <w:rPr>
      <w:rFonts w:ascii="Symbol" w:hAnsi="Symbol"/>
    </w:rPr>
  </w:style>
  <w:style w:type="character" w:customStyle="1" w:styleId="MenuOptions">
    <w:name w:val="Menu Options"/>
    <w:basedOn w:val="DefaultParagraphFont"/>
    <w:rsid w:val="00750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74F"/>
    <w:rPr>
      <w:b/>
    </w:rPr>
  </w:style>
  <w:style w:type="character" w:customStyle="1" w:styleId="Underlined">
    <w:name w:val="Underlined"/>
    <w:basedOn w:val="DefaultParagraphFont"/>
    <w:rsid w:val="0075074F"/>
    <w:rPr>
      <w:u w:val="single"/>
    </w:rPr>
  </w:style>
  <w:style w:type="paragraph" w:customStyle="1" w:styleId="TableBodyTextRight">
    <w:name w:val="Table Body Text Right"/>
    <w:basedOn w:val="TableBodyText"/>
    <w:rsid w:val="00750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74F"/>
    <w:rPr>
      <w:sz w:val="18"/>
    </w:rPr>
  </w:style>
  <w:style w:type="paragraph" w:customStyle="1" w:styleId="BodySmallRight">
    <w:name w:val="Body Small Right"/>
    <w:basedOn w:val="BodyTextRight"/>
    <w:rsid w:val="0075074F"/>
    <w:rPr>
      <w:sz w:val="18"/>
      <w:szCs w:val="18"/>
    </w:rPr>
  </w:style>
  <w:style w:type="paragraph" w:customStyle="1" w:styleId="MarginEdition">
    <w:name w:val="Margin Edition"/>
    <w:basedOn w:val="MarginNote"/>
    <w:rsid w:val="00750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74F"/>
    <w:rPr>
      <w:sz w:val="2"/>
      <w:szCs w:val="2"/>
    </w:rPr>
  </w:style>
  <w:style w:type="character" w:customStyle="1" w:styleId="Small">
    <w:name w:val="Small"/>
    <w:basedOn w:val="DefaultParagraphFont"/>
    <w:rsid w:val="0075074F"/>
    <w:rPr>
      <w:sz w:val="16"/>
    </w:rPr>
  </w:style>
  <w:style w:type="paragraph" w:customStyle="1" w:styleId="WideTable">
    <w:name w:val="Wide Table"/>
    <w:basedOn w:val="Normal"/>
    <w:rsid w:val="00750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74F"/>
  </w:style>
  <w:style w:type="paragraph" w:styleId="Quote">
    <w:name w:val="Quote"/>
    <w:basedOn w:val="Heading1"/>
    <w:link w:val="QuoteChar"/>
    <w:qFormat/>
    <w:rsid w:val="00750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74F"/>
    <w:pPr>
      <w:pageBreakBefore/>
    </w:pPr>
  </w:style>
  <w:style w:type="paragraph" w:customStyle="1" w:styleId="Border">
    <w:name w:val="Border"/>
    <w:basedOn w:val="Normal"/>
    <w:qFormat/>
    <w:rsid w:val="00750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74F"/>
    <w:rPr>
      <w:u w:val="single"/>
    </w:rPr>
  </w:style>
  <w:style w:type="character" w:customStyle="1" w:styleId="BoldandItalics">
    <w:name w:val="Bold and Italics"/>
    <w:qFormat/>
    <w:rsid w:val="0075074F"/>
    <w:rPr>
      <w:b/>
      <w:i/>
      <w:u w:val="none"/>
    </w:rPr>
  </w:style>
  <w:style w:type="paragraph" w:styleId="BalloonText">
    <w:name w:val="Balloon Text"/>
    <w:basedOn w:val="Normal"/>
    <w:link w:val="BalloonTextChar"/>
    <w:rsid w:val="00750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7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2643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AHCLSK227 Monitor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