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088D" w:rsidP="008C08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AHCEXP304 Identify and select explosive products</w:t>
      </w:r>
      <w:r>
        <w:fldChar w:fldCharType="end"/>
      </w:r>
    </w:p>
    <w:p w:rsidR="008C088D" w:rsidP="008C088D">
      <w:pPr>
        <w:pStyle w:val="Version"/>
        <w:sectPr w:rsidSect="00A273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73EF" w:rsidP="00A273EF">
      <w:pPr>
        <w:pStyle w:val="SuperHeading"/>
      </w:pPr>
      <w:r w:rsidRPr="00A273EF">
        <w:t>Assessment Requirements for AHCEXP304 Identify and select explosive products</w:t>
      </w:r>
    </w:p>
    <w:p w:rsidR="00000000" w:rsidRPr="00A273EF" w:rsidP="00A273EF">
      <w:pPr>
        <w:pStyle w:val="Heading1"/>
      </w:pPr>
      <w:bookmarkStart w:id="1" w:name="O_1150583"/>
      <w:bookmarkEnd w:id="1"/>
      <w:r w:rsidRPr="00A273E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273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3EF">
            <w:pPr>
              <w:pStyle w:val="BodyTextBold"/>
              <w:rPr>
                <w:lang w:val="en-NZ"/>
              </w:rPr>
            </w:pPr>
            <w:r w:rsidRPr="00A273E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3EF">
            <w:pPr>
              <w:pStyle w:val="BodyTextBold"/>
              <w:rPr>
                <w:lang w:val="en-NZ"/>
              </w:rPr>
            </w:pPr>
            <w:r w:rsidRPr="00A273EF">
              <w:t>Comments</w:t>
            </w:r>
          </w:p>
        </w:tc>
      </w:tr>
      <w:tr w:rsidTr="00A273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3EF">
            <w:pPr>
              <w:pStyle w:val="BodyText"/>
              <w:rPr>
                <w:lang w:val="en-NZ"/>
              </w:rPr>
            </w:pPr>
            <w:r w:rsidRPr="00A273E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3EF" w:rsidP="00A273EF">
            <w:pPr>
              <w:pStyle w:val="BodyText"/>
            </w:pPr>
            <w:r w:rsidRPr="00A273EF">
              <w:t>This version released with AHC Agriculture, Horticulture and Conservation and Land Management Training Package Version 6.0.</w:t>
            </w:r>
          </w:p>
        </w:tc>
      </w:tr>
    </w:tbl>
    <w:p w:rsidR="00000000" w:rsidRPr="00A273EF" w:rsidP="00A273EF">
      <w:pPr>
        <w:pStyle w:val="BodyText"/>
      </w:pPr>
    </w:p>
    <w:p w:rsidR="00000000" w:rsidRPr="00A273EF" w:rsidP="00A273EF">
      <w:pPr>
        <w:pStyle w:val="AllowPageBreak"/>
      </w:pPr>
    </w:p>
    <w:p w:rsidR="00000000" w:rsidRPr="00A273EF" w:rsidP="00A273EF">
      <w:pPr>
        <w:pStyle w:val="Heading1"/>
      </w:pPr>
      <w:bookmarkStart w:id="2" w:name="O_1150584"/>
      <w:bookmarkEnd w:id="2"/>
      <w:r w:rsidRPr="00A273EF">
        <w:t>Performance Evidence</w:t>
      </w:r>
    </w:p>
    <w:p w:rsidR="00000000" w:rsidRPr="00A273EF" w:rsidP="008C088D">
      <w:pPr>
        <w:pStyle w:val="BodyText"/>
      </w:pPr>
      <w:r w:rsidRPr="00A273EF">
        <w:t>An individual demonstrating competency must satisfy all of the elements and performance cr</w:t>
      </w:r>
      <w:r w:rsidRPr="00A273EF">
        <w:t>iteria in this unit.</w:t>
      </w:r>
    </w:p>
    <w:p w:rsidR="00000000" w:rsidRPr="00A273EF" w:rsidP="008C088D">
      <w:pPr>
        <w:pStyle w:val="BodyText"/>
      </w:pPr>
      <w:r w:rsidRPr="00A273EF">
        <w:t>There must be evidence that, on at least one occasion, the individual has:</w:t>
      </w:r>
    </w:p>
    <w:p w:rsidR="00000000" w:rsidRPr="00A273EF" w:rsidP="00A273EF">
      <w:pPr>
        <w:pStyle w:val="ListBullet"/>
      </w:pPr>
      <w:r w:rsidRPr="00A273EF">
        <w:t>established with supervisor need to use explosives</w:t>
      </w:r>
    </w:p>
    <w:p w:rsidR="00000000" w:rsidRPr="00A273EF" w:rsidP="00A273EF">
      <w:pPr>
        <w:pStyle w:val="ListBullet"/>
      </w:pPr>
      <w:r w:rsidRPr="00A273EF">
        <w:t>identified components of explosive products</w:t>
      </w:r>
    </w:p>
    <w:p w:rsidR="00000000" w:rsidRPr="00A273EF" w:rsidP="00A273EF">
      <w:pPr>
        <w:pStyle w:val="ListBullet"/>
      </w:pPr>
      <w:r w:rsidRPr="00A273EF">
        <w:t>identified the risks and environmental implications of using explosives, including the effect on:</w:t>
      </w:r>
    </w:p>
    <w:p w:rsidR="00000000" w:rsidRPr="00A273EF" w:rsidP="00A273EF">
      <w:pPr>
        <w:pStyle w:val="ListBullet2"/>
      </w:pPr>
      <w:r w:rsidRPr="00A273EF">
        <w:t>structures</w:t>
      </w:r>
    </w:p>
    <w:p w:rsidR="00000000" w:rsidRPr="00A273EF" w:rsidP="00A273EF">
      <w:pPr>
        <w:pStyle w:val="ListBullet2"/>
      </w:pPr>
      <w:r w:rsidRPr="00A273EF">
        <w:t>personnel</w:t>
      </w:r>
    </w:p>
    <w:p w:rsidR="00000000" w:rsidRPr="00A273EF" w:rsidP="00A273EF">
      <w:pPr>
        <w:pStyle w:val="ListBullet2"/>
      </w:pPr>
      <w:r w:rsidRPr="00A273EF">
        <w:t>livestock and fauna</w:t>
      </w:r>
    </w:p>
    <w:p w:rsidR="00000000" w:rsidRPr="00A273EF" w:rsidP="00A273EF">
      <w:pPr>
        <w:pStyle w:val="ListBullet2"/>
      </w:pPr>
      <w:r w:rsidRPr="00A273EF">
        <w:t>environment</w:t>
      </w:r>
    </w:p>
    <w:p w:rsidR="00000000" w:rsidRPr="00A273EF" w:rsidP="00A273EF">
      <w:pPr>
        <w:pStyle w:val="ListBullet"/>
      </w:pPr>
      <w:r w:rsidRPr="00A273EF">
        <w:t>selected explosives and initiator devices consistent with:</w:t>
      </w:r>
    </w:p>
    <w:p w:rsidR="00000000" w:rsidRPr="00A273EF" w:rsidP="00A273EF">
      <w:pPr>
        <w:pStyle w:val="ListBullet2"/>
      </w:pPr>
      <w:r w:rsidRPr="00A273EF">
        <w:t>blasting operation</w:t>
      </w:r>
    </w:p>
    <w:p w:rsidR="00000000" w:rsidRPr="00A273EF" w:rsidP="00A273EF">
      <w:pPr>
        <w:pStyle w:val="ListBullet2"/>
      </w:pPr>
      <w:r w:rsidRPr="00A273EF">
        <w:t>blast site conditions</w:t>
      </w:r>
    </w:p>
    <w:p w:rsidR="00000000" w:rsidRPr="00A273EF" w:rsidP="00A273EF">
      <w:pPr>
        <w:pStyle w:val="ListBullet2"/>
      </w:pPr>
      <w:r w:rsidRPr="00A273EF">
        <w:t>id</w:t>
      </w:r>
      <w:r w:rsidRPr="00A273EF">
        <w:t>entified hazards</w:t>
      </w:r>
    </w:p>
    <w:p w:rsidR="00000000" w:rsidRPr="00A273EF" w:rsidP="00A273EF">
      <w:pPr>
        <w:pStyle w:val="ListBullet"/>
      </w:pPr>
      <w:r w:rsidRPr="00A273EF">
        <w:t>used safety fuses appropriate for the explosive charge</w:t>
      </w:r>
    </w:p>
    <w:p w:rsidR="00000000" w:rsidRPr="00A273EF" w:rsidP="00A273EF">
      <w:pPr>
        <w:pStyle w:val="ListBullet"/>
      </w:pPr>
      <w:r w:rsidRPr="00A273EF">
        <w:t>applied workplace health and safety policies and procedures when working with explosives</w:t>
      </w:r>
    </w:p>
    <w:p w:rsidR="00000000" w:rsidRPr="00A273EF" w:rsidP="00A273EF">
      <w:pPr>
        <w:pStyle w:val="ListBullet"/>
      </w:pPr>
      <w:r w:rsidRPr="00A273EF">
        <w:t>applied policies and procedures, legislative requirements and Australian Standards.</w:t>
      </w:r>
    </w:p>
    <w:p w:rsidR="00000000" w:rsidRPr="00A273EF" w:rsidP="00A273EF">
      <w:pPr>
        <w:pStyle w:val="AllowPageBreak"/>
      </w:pPr>
    </w:p>
    <w:p w:rsidR="00000000" w:rsidRPr="00A273EF" w:rsidP="00A273EF">
      <w:pPr>
        <w:pStyle w:val="Heading1"/>
      </w:pPr>
      <w:bookmarkStart w:id="3" w:name="O_1150585"/>
      <w:bookmarkEnd w:id="3"/>
      <w:r w:rsidRPr="00A273EF">
        <w:t>Knowledge Evidence</w:t>
      </w:r>
    </w:p>
    <w:p w:rsidR="00000000" w:rsidRPr="00A273EF" w:rsidP="008C088D">
      <w:pPr>
        <w:pStyle w:val="BodyText"/>
      </w:pPr>
      <w:r w:rsidRPr="00A273EF">
        <w:t>An individual must be able to demonstrate the knowledge required to perform the tasks outlined in the elements and performance criteria of this unit. This includes knowledge of:</w:t>
      </w:r>
    </w:p>
    <w:p w:rsidR="00000000" w:rsidRPr="00A273EF" w:rsidP="00A273EF">
      <w:pPr>
        <w:pStyle w:val="ListBullet"/>
      </w:pPr>
      <w:r w:rsidRPr="00A273EF">
        <w:t>explosive products, their use and function</w:t>
      </w:r>
    </w:p>
    <w:p w:rsidR="00000000" w:rsidRPr="00A273EF" w:rsidP="00A273EF">
      <w:pPr>
        <w:pStyle w:val="ListBullet"/>
      </w:pPr>
      <w:r w:rsidRPr="00A273EF">
        <w:t>risk a</w:t>
      </w:r>
      <w:r w:rsidRPr="00A273EF">
        <w:t>ssessment and workplace health and safety procedures</w:t>
      </w:r>
    </w:p>
    <w:p w:rsidR="00000000" w:rsidRPr="00A273EF" w:rsidP="00A273EF">
      <w:pPr>
        <w:pStyle w:val="ListBullet"/>
      </w:pPr>
      <w:r w:rsidRPr="00A273EF">
        <w:t>performance of explosive products, including:</w:t>
      </w:r>
    </w:p>
    <w:p w:rsidR="00000000" w:rsidRPr="00A273EF" w:rsidP="00A273EF">
      <w:pPr>
        <w:pStyle w:val="ListBullet2"/>
      </w:pPr>
      <w:r w:rsidRPr="00A273EF">
        <w:t>calculating explosive energy</w:t>
      </w:r>
    </w:p>
    <w:p w:rsidR="00000000" w:rsidRPr="00A273EF" w:rsidP="00A273EF">
      <w:pPr>
        <w:pStyle w:val="ListBullet2"/>
      </w:pPr>
      <w:r w:rsidRPr="00A273EF">
        <w:t>determining amount of explosive charge required for a given situation</w:t>
      </w:r>
    </w:p>
    <w:p w:rsidR="00000000" w:rsidRPr="00A273EF" w:rsidP="00A273EF">
      <w:pPr>
        <w:pStyle w:val="ListBullet2"/>
      </w:pPr>
      <w:r w:rsidRPr="00A273EF">
        <w:t>powder factor</w:t>
      </w:r>
    </w:p>
    <w:p w:rsidR="00000000" w:rsidRPr="00A273EF" w:rsidP="00A273EF">
      <w:pPr>
        <w:pStyle w:val="ListBullet"/>
      </w:pPr>
      <w:r w:rsidRPr="00A273EF">
        <w:t>behaviour of the substrate material when s</w:t>
      </w:r>
      <w:r w:rsidRPr="00A273EF">
        <w:t>ubjected to blasting:</w:t>
      </w:r>
    </w:p>
    <w:p w:rsidR="00000000" w:rsidRPr="00A273EF" w:rsidP="00A273EF">
      <w:pPr>
        <w:pStyle w:val="ListBullet2"/>
      </w:pPr>
      <w:r w:rsidRPr="00A273EF">
        <w:t>sand</w:t>
      </w:r>
    </w:p>
    <w:p w:rsidR="00000000" w:rsidRPr="00A273EF" w:rsidP="00A273EF">
      <w:pPr>
        <w:pStyle w:val="ListBullet2"/>
      </w:pPr>
      <w:r w:rsidRPr="00A273EF">
        <w:t>rock</w:t>
      </w:r>
    </w:p>
    <w:p w:rsidR="00000000" w:rsidRPr="00A273EF" w:rsidP="00A273EF">
      <w:pPr>
        <w:pStyle w:val="ListBullet2"/>
      </w:pPr>
      <w:r w:rsidRPr="00A273EF">
        <w:t>clay</w:t>
      </w:r>
    </w:p>
    <w:p w:rsidR="00000000" w:rsidRPr="00A273EF" w:rsidP="00A273EF">
      <w:pPr>
        <w:pStyle w:val="ListBullet"/>
      </w:pPr>
      <w:r w:rsidRPr="00A273EF">
        <w:t>applications of explosives in the context of own conservation and land management work:</w:t>
      </w:r>
    </w:p>
    <w:p w:rsidR="00000000" w:rsidRPr="00A273EF" w:rsidP="00A273EF">
      <w:pPr>
        <w:pStyle w:val="ListBullet2"/>
      </w:pPr>
      <w:r w:rsidRPr="00A273EF">
        <w:t>stump and tree removal</w:t>
      </w:r>
    </w:p>
    <w:p w:rsidR="00000000" w:rsidRPr="00A273EF" w:rsidP="00A273EF">
      <w:pPr>
        <w:pStyle w:val="ListBullet2"/>
      </w:pPr>
      <w:r w:rsidRPr="00A273EF">
        <w:t>dams</w:t>
      </w:r>
    </w:p>
    <w:p w:rsidR="00000000" w:rsidRPr="00A273EF" w:rsidP="00A273EF">
      <w:pPr>
        <w:pStyle w:val="ListBullet2"/>
      </w:pPr>
      <w:r w:rsidRPr="00A273EF">
        <w:t>soil de-compaction</w:t>
      </w:r>
    </w:p>
    <w:p w:rsidR="00000000" w:rsidRPr="00A273EF" w:rsidP="00A273EF">
      <w:pPr>
        <w:pStyle w:val="ListBullet2"/>
      </w:pPr>
      <w:r w:rsidRPr="00A273EF">
        <w:t>rock removal</w:t>
      </w:r>
    </w:p>
    <w:p w:rsidR="00000000" w:rsidRPr="00A273EF" w:rsidP="00A273EF">
      <w:pPr>
        <w:pStyle w:val="ListBullet2"/>
      </w:pPr>
      <w:r w:rsidRPr="00A273EF">
        <w:t>trenching</w:t>
      </w:r>
    </w:p>
    <w:p w:rsidR="00000000" w:rsidRPr="00A273EF" w:rsidP="00A273EF">
      <w:pPr>
        <w:pStyle w:val="ListBullet"/>
      </w:pPr>
      <w:r w:rsidRPr="00A273EF">
        <w:t>properties of explosives/blasting agents and their suitability for different applications:</w:t>
      </w:r>
    </w:p>
    <w:p w:rsidR="00000000" w:rsidRPr="00A273EF" w:rsidP="00A273EF">
      <w:pPr>
        <w:pStyle w:val="ListBullet2"/>
      </w:pPr>
      <w:r w:rsidRPr="00A273EF">
        <w:t>detonating</w:t>
      </w:r>
    </w:p>
    <w:p w:rsidR="00000000" w:rsidRPr="00A273EF" w:rsidP="00A273EF">
      <w:pPr>
        <w:pStyle w:val="ListBullet2"/>
      </w:pPr>
      <w:r w:rsidRPr="00A273EF">
        <w:t>initiation</w:t>
      </w:r>
    </w:p>
    <w:p w:rsidR="00000000" w:rsidRPr="00A273EF" w:rsidP="00A273EF">
      <w:pPr>
        <w:pStyle w:val="ListBullet2"/>
      </w:pPr>
      <w:r w:rsidRPr="00A273EF">
        <w:t>primary</w:t>
      </w:r>
    </w:p>
    <w:p w:rsidR="00000000" w:rsidRPr="00A273EF" w:rsidP="00A273EF">
      <w:pPr>
        <w:pStyle w:val="ListBullet2"/>
      </w:pPr>
      <w:r w:rsidRPr="00A273EF">
        <w:t>secondary</w:t>
      </w:r>
    </w:p>
    <w:p w:rsidR="00000000" w:rsidRPr="00A273EF" w:rsidP="00A273EF">
      <w:pPr>
        <w:pStyle w:val="ListBullet"/>
      </w:pPr>
      <w:r w:rsidRPr="00A273EF">
        <w:t>features that identify defective or damaged explosives:</w:t>
      </w:r>
    </w:p>
    <w:p w:rsidR="00000000" w:rsidRPr="00A273EF" w:rsidP="00A273EF">
      <w:pPr>
        <w:pStyle w:val="ListBullet2"/>
      </w:pPr>
      <w:r w:rsidRPr="00A273EF">
        <w:t>age</w:t>
      </w:r>
    </w:p>
    <w:p w:rsidR="00000000" w:rsidRPr="00A273EF" w:rsidP="00A273EF">
      <w:pPr>
        <w:pStyle w:val="ListBullet2"/>
      </w:pPr>
      <w:r w:rsidRPr="00A273EF">
        <w:t>physical condition</w:t>
      </w:r>
    </w:p>
    <w:p w:rsidR="00000000" w:rsidRPr="00A273EF" w:rsidP="00A273EF">
      <w:pPr>
        <w:pStyle w:val="ListBullet2"/>
      </w:pPr>
      <w:r w:rsidRPr="00A273EF">
        <w:t>degradation</w:t>
      </w:r>
    </w:p>
    <w:p w:rsidR="00000000" w:rsidRPr="00A273EF" w:rsidP="00A273EF">
      <w:pPr>
        <w:pStyle w:val="ListBullet"/>
      </w:pPr>
      <w:r w:rsidRPr="00A273EF">
        <w:t>key concepts of the Australian Standards relating to:</w:t>
      </w:r>
    </w:p>
    <w:p w:rsidR="00000000" w:rsidRPr="00A273EF" w:rsidP="00A273EF">
      <w:pPr>
        <w:pStyle w:val="ListBullet2"/>
      </w:pPr>
      <w:r w:rsidRPr="00A273EF">
        <w:t>storage</w:t>
      </w:r>
    </w:p>
    <w:p w:rsidR="00000000" w:rsidRPr="00A273EF" w:rsidP="00A273EF">
      <w:pPr>
        <w:pStyle w:val="ListBullet2"/>
      </w:pPr>
      <w:r w:rsidRPr="00A273EF">
        <w:t>transportation</w:t>
      </w:r>
    </w:p>
    <w:p w:rsidR="00000000" w:rsidRPr="00A273EF" w:rsidP="00A273EF">
      <w:pPr>
        <w:pStyle w:val="ListBullet2"/>
      </w:pPr>
      <w:r w:rsidRPr="00A273EF">
        <w:t>use of explosives</w:t>
      </w:r>
    </w:p>
    <w:p w:rsidR="00000000" w:rsidRPr="00A273EF" w:rsidP="00A273EF">
      <w:pPr>
        <w:pStyle w:val="ListBullet"/>
      </w:pPr>
      <w:r w:rsidRPr="00A273EF">
        <w:t>state and territory legislation for the use of explosives.</w:t>
      </w:r>
    </w:p>
    <w:p w:rsidR="00000000" w:rsidRPr="00A273EF" w:rsidP="00A273EF">
      <w:pPr>
        <w:pStyle w:val="AllowPageBreak"/>
      </w:pPr>
    </w:p>
    <w:p w:rsidR="00000000" w:rsidRPr="00A273EF" w:rsidP="00A273EF">
      <w:pPr>
        <w:pStyle w:val="Heading1"/>
      </w:pPr>
      <w:bookmarkStart w:id="4" w:name="O_1150586"/>
      <w:bookmarkEnd w:id="4"/>
      <w:r w:rsidRPr="00A273EF">
        <w:t>Assessment Conditions</w:t>
      </w:r>
    </w:p>
    <w:p w:rsidR="00000000" w:rsidRPr="00A273EF" w:rsidP="008C088D">
      <w:pPr>
        <w:pStyle w:val="BodyText"/>
      </w:pPr>
      <w:r w:rsidRPr="00A273EF">
        <w:t>Assessment of the skills in this unit of competency must ta</w:t>
      </w:r>
      <w:r w:rsidRPr="00A273EF">
        <w:t xml:space="preserve">ke place under the following conditions: </w:t>
      </w:r>
    </w:p>
    <w:p w:rsidR="00000000" w:rsidRPr="00A273EF" w:rsidP="00A273EF">
      <w:pPr>
        <w:pStyle w:val="ListBullet"/>
      </w:pPr>
      <w:r w:rsidRPr="00A273EF">
        <w:t>physical conditions:</w:t>
      </w:r>
    </w:p>
    <w:p w:rsidR="00000000" w:rsidRPr="00A273EF" w:rsidP="00A273EF">
      <w:pPr>
        <w:pStyle w:val="ListBullet2"/>
      </w:pPr>
      <w:r w:rsidRPr="00A273EF">
        <w:t>skills must be demonstrated in an environment that accurately represents workplace conditions and that exposes individuals to live detonation conditions</w:t>
      </w:r>
    </w:p>
    <w:p w:rsidR="00000000" w:rsidRPr="00A273EF" w:rsidP="00A273EF">
      <w:pPr>
        <w:pStyle w:val="ListBullet2"/>
      </w:pPr>
      <w:r w:rsidRPr="00A273EF">
        <w:t xml:space="preserve">safe transport and storage facilities suitable for explosives </w:t>
      </w:r>
    </w:p>
    <w:p w:rsidR="00000000" w:rsidRPr="00A273EF" w:rsidP="00A273EF">
      <w:pPr>
        <w:pStyle w:val="ListBullet"/>
      </w:pPr>
      <w:r w:rsidRPr="00A273EF">
        <w:t>resources, equipment and materials:</w:t>
      </w:r>
    </w:p>
    <w:p w:rsidR="00000000" w:rsidRPr="00A273EF" w:rsidP="00A273EF">
      <w:pPr>
        <w:pStyle w:val="ListBullet2"/>
      </w:pPr>
      <w:r w:rsidRPr="00A273EF">
        <w:t>explosives, detonators and fuses</w:t>
      </w:r>
    </w:p>
    <w:p w:rsidR="00000000" w:rsidRPr="00A273EF" w:rsidP="00A273EF">
      <w:pPr>
        <w:pStyle w:val="ListBullet2"/>
      </w:pPr>
      <w:r w:rsidRPr="00A273EF">
        <w:t>safety equipment</w:t>
      </w:r>
    </w:p>
    <w:p w:rsidR="00000000" w:rsidRPr="00A273EF" w:rsidP="00A273EF">
      <w:pPr>
        <w:pStyle w:val="ListBullet"/>
      </w:pPr>
      <w:r>
        <w:t>•</w:t>
      </w:r>
      <w:r>
        <w:tab/>
      </w:r>
      <w:r w:rsidRPr="00A273EF">
        <w:t>specifications:</w:t>
      </w:r>
    </w:p>
    <w:p w:rsidR="00000000" w:rsidRPr="00A273EF" w:rsidP="00A273EF">
      <w:pPr>
        <w:pStyle w:val="ListBullet2"/>
      </w:pPr>
      <w:r w:rsidRPr="00A273EF">
        <w:t>policies, procedures, processes for the safe use of explosives</w:t>
      </w:r>
    </w:p>
    <w:p w:rsidR="00000000" w:rsidRPr="00A273EF" w:rsidP="00A273EF">
      <w:pPr>
        <w:pStyle w:val="ListBullet2"/>
      </w:pPr>
      <w:r w:rsidRPr="00A273EF">
        <w:t xml:space="preserve">safety data sheets for </w:t>
      </w:r>
      <w:r w:rsidRPr="00A273EF">
        <w:t>explosives</w:t>
      </w:r>
    </w:p>
    <w:p w:rsidR="00000000" w:rsidRPr="00A273EF" w:rsidP="00A273EF">
      <w:pPr>
        <w:pStyle w:val="ListBullet2"/>
      </w:pPr>
      <w:r w:rsidRPr="00A273EF">
        <w:t>instructions/job specifications for a blasting operation</w:t>
      </w:r>
    </w:p>
    <w:p w:rsidR="00000000" w:rsidRPr="00A273EF" w:rsidP="00A273EF">
      <w:pPr>
        <w:pStyle w:val="ListBullet2"/>
      </w:pPr>
      <w:r w:rsidRPr="00A273EF">
        <w:t>legislation and Australian Standards for the use of explosives.</w:t>
      </w:r>
    </w:p>
    <w:p w:rsidR="00000000" w:rsidRPr="00A273EF" w:rsidP="008C088D">
      <w:pPr>
        <w:pStyle w:val="BodyText"/>
      </w:pPr>
      <w:r w:rsidRPr="00A273EF">
        <w:t>Assessors of this unit must satisfy the requirements for assessors in applicable vocational education and training legislati</w:t>
      </w:r>
      <w:r w:rsidRPr="00A273EF">
        <w:t>on, frameworks and/or standards.</w:t>
      </w:r>
    </w:p>
    <w:p w:rsidR="00000000" w:rsidRPr="00A273EF" w:rsidP="00A273EF">
      <w:pPr>
        <w:pStyle w:val="Heading1"/>
      </w:pPr>
      <w:bookmarkStart w:id="5" w:name="O_1150589"/>
      <w:bookmarkEnd w:id="5"/>
      <w:r w:rsidRPr="00A273EF">
        <w:t>Links</w:t>
      </w:r>
    </w:p>
    <w:p w:rsidR="00000000" w:rsidRPr="00A273EF" w:rsidP="008C088D">
      <w:pPr>
        <w:pStyle w:val="BodyText"/>
      </w:pPr>
      <w:r w:rsidRPr="00A273E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111D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273EF" w:rsidP="00A273EF"/>
    <w:sectPr w:rsidSect="00A273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3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3EF" w:rsidRPr="008C088D" w:rsidP="008C08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3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88D" w:rsidP="00A273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088D" w:rsidP="00A273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C088D" w:rsidP="00A273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3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8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73EF" w:rsidRPr="008C088D" w:rsidP="008C08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3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88D" w:rsidRPr="002D2AF8" w:rsidP="00A273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AHCEXP304 Identify and select explosive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C088D" w:rsidP="00A273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4E1C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7AA4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8AF5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3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73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73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73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73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73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73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73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73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73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73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73EF"/>
  </w:style>
  <w:style w:type="character" w:customStyle="1" w:styleId="Heading1Char">
    <w:name w:val="Heading 1 Char"/>
    <w:basedOn w:val="DefaultParagraphFont"/>
    <w:link w:val="Heading1"/>
    <w:rsid w:val="00A273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73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73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73E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273E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73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73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273EF"/>
    <w:rPr>
      <w:b/>
    </w:rPr>
  </w:style>
  <w:style w:type="character" w:customStyle="1" w:styleId="Heading2Char">
    <w:name w:val="Heading 2 Char"/>
    <w:basedOn w:val="DefaultParagraphFont"/>
    <w:link w:val="Heading2"/>
    <w:rsid w:val="00A273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73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73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73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73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73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73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73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73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73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73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73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73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73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73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73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73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73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73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73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273EF"/>
    <w:rPr>
      <w:b/>
      <w:spacing w:val="0"/>
    </w:rPr>
  </w:style>
  <w:style w:type="paragraph" w:customStyle="1" w:styleId="SuperTitle">
    <w:name w:val="SuperTitle"/>
    <w:basedOn w:val="Title"/>
    <w:rsid w:val="00A273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73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73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73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73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73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73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73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73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73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73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73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73EF"/>
    <w:rPr>
      <w:i/>
    </w:rPr>
  </w:style>
  <w:style w:type="paragraph" w:styleId="Caption">
    <w:name w:val="caption"/>
    <w:basedOn w:val="BodyText"/>
    <w:next w:val="Normal"/>
    <w:qFormat/>
    <w:rsid w:val="00A273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73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73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73EF"/>
  </w:style>
  <w:style w:type="paragraph" w:styleId="TableofFigures">
    <w:name w:val="table of figures"/>
    <w:basedOn w:val="Normal"/>
    <w:next w:val="Normal"/>
    <w:semiHidden/>
    <w:rsid w:val="00A273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73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73EF"/>
    <w:rPr>
      <w:rFonts w:ascii="Wingdings" w:hAnsi="Wingdings"/>
    </w:rPr>
  </w:style>
  <w:style w:type="paragraph" w:customStyle="1" w:styleId="TableHeading">
    <w:name w:val="Table Heading"/>
    <w:basedOn w:val="HeadingBase"/>
    <w:rsid w:val="00A273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73EF"/>
    <w:rPr>
      <w:color w:val="0033CC"/>
      <w:u w:val="none"/>
    </w:rPr>
  </w:style>
  <w:style w:type="paragraph" w:customStyle="1" w:styleId="BodyTextRight">
    <w:name w:val="Body Text Right"/>
    <w:basedOn w:val="BodyText"/>
    <w:rsid w:val="00A273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73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73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73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73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73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73EF"/>
    <w:rPr>
      <w:sz w:val="32"/>
    </w:rPr>
  </w:style>
  <w:style w:type="paragraph" w:customStyle="1" w:styleId="HeadingProcedure">
    <w:name w:val="Heading Procedure"/>
    <w:basedOn w:val="HeadingBase"/>
    <w:next w:val="Normal"/>
    <w:rsid w:val="00A273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73EF"/>
    <w:pPr>
      <w:spacing w:before="60" w:after="60"/>
    </w:pPr>
  </w:style>
  <w:style w:type="paragraph" w:styleId="ListContinue">
    <w:name w:val="List Continue"/>
    <w:basedOn w:val="List"/>
    <w:rsid w:val="00A273EF"/>
    <w:pPr>
      <w:ind w:firstLine="0"/>
    </w:pPr>
  </w:style>
  <w:style w:type="paragraph" w:customStyle="1" w:styleId="ListNote">
    <w:name w:val="List Note"/>
    <w:basedOn w:val="List"/>
    <w:rsid w:val="00A273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73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73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73EF"/>
    <w:rPr>
      <w:rFonts w:ascii="Courier New" w:hAnsi="Courier New"/>
    </w:rPr>
  </w:style>
  <w:style w:type="paragraph" w:customStyle="1" w:styleId="NoteBullet">
    <w:name w:val="Note Bullet"/>
    <w:basedOn w:val="Note"/>
    <w:rsid w:val="00A273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73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73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73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73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73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73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73EF"/>
    <w:rPr>
      <w:b/>
      <w:smallCaps/>
    </w:rPr>
  </w:style>
  <w:style w:type="paragraph" w:customStyle="1" w:styleId="TableListNumber">
    <w:name w:val="Table List Number"/>
    <w:basedOn w:val="ListNumber"/>
    <w:rsid w:val="00A273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73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73EF"/>
    <w:pPr>
      <w:numPr>
        <w:numId w:val="9"/>
      </w:numPr>
    </w:pPr>
  </w:style>
  <w:style w:type="paragraph" w:customStyle="1" w:styleId="ListAlpha2">
    <w:name w:val="List Alpha 2"/>
    <w:basedOn w:val="List2"/>
    <w:rsid w:val="00A273EF"/>
    <w:pPr>
      <w:numPr>
        <w:numId w:val="8"/>
      </w:numPr>
    </w:pPr>
  </w:style>
  <w:style w:type="paragraph" w:styleId="List2">
    <w:name w:val="List 2"/>
    <w:basedOn w:val="BodyText"/>
    <w:rsid w:val="00A273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73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73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73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73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73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73EF"/>
    <w:pPr>
      <w:numPr>
        <w:numId w:val="4"/>
      </w:numPr>
    </w:pPr>
  </w:style>
  <w:style w:type="paragraph" w:styleId="ListContinue2">
    <w:name w:val="List Continue 2"/>
    <w:basedOn w:val="List2"/>
    <w:rsid w:val="00A273EF"/>
    <w:pPr>
      <w:ind w:firstLine="0"/>
    </w:pPr>
  </w:style>
  <w:style w:type="paragraph" w:styleId="ListContinue3">
    <w:name w:val="List Continue 3"/>
    <w:basedOn w:val="List3"/>
    <w:rsid w:val="00A273EF"/>
    <w:pPr>
      <w:ind w:left="1021" w:firstLine="0"/>
    </w:pPr>
  </w:style>
  <w:style w:type="paragraph" w:styleId="ListContinue4">
    <w:name w:val="List Continue 4"/>
    <w:basedOn w:val="List4"/>
    <w:rsid w:val="00A273EF"/>
    <w:pPr>
      <w:ind w:firstLine="0"/>
    </w:pPr>
  </w:style>
  <w:style w:type="paragraph" w:styleId="ListContinue5">
    <w:name w:val="List Continue 5"/>
    <w:basedOn w:val="List5"/>
    <w:rsid w:val="00A273EF"/>
    <w:pPr>
      <w:ind w:firstLine="0"/>
    </w:pPr>
  </w:style>
  <w:style w:type="paragraph" w:styleId="ListNumber3">
    <w:name w:val="List Number 3"/>
    <w:basedOn w:val="List3"/>
    <w:rsid w:val="00A273EF"/>
    <w:pPr>
      <w:numPr>
        <w:numId w:val="5"/>
      </w:numPr>
    </w:pPr>
  </w:style>
  <w:style w:type="paragraph" w:styleId="ListNumber4">
    <w:name w:val="List Number 4"/>
    <w:basedOn w:val="List4"/>
    <w:rsid w:val="00A273EF"/>
    <w:pPr>
      <w:numPr>
        <w:numId w:val="6"/>
      </w:numPr>
    </w:pPr>
  </w:style>
  <w:style w:type="paragraph" w:styleId="ListNumber5">
    <w:name w:val="List Number 5"/>
    <w:basedOn w:val="List5"/>
    <w:rsid w:val="00A273EF"/>
    <w:pPr>
      <w:numPr>
        <w:numId w:val="7"/>
      </w:numPr>
    </w:pPr>
  </w:style>
  <w:style w:type="paragraph" w:styleId="BlockText">
    <w:name w:val="Block Text"/>
    <w:basedOn w:val="Normal"/>
    <w:rsid w:val="00A273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73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73EF"/>
    <w:rPr>
      <w:sz w:val="16"/>
      <w:vertAlign w:val="superscript"/>
    </w:rPr>
  </w:style>
  <w:style w:type="character" w:customStyle="1" w:styleId="Symbols">
    <w:name w:val="Symbols"/>
    <w:basedOn w:val="DefaultParagraphFont"/>
    <w:rsid w:val="00A273EF"/>
    <w:rPr>
      <w:rFonts w:ascii="Symbol" w:hAnsi="Symbol"/>
    </w:rPr>
  </w:style>
  <w:style w:type="character" w:customStyle="1" w:styleId="MenuOptions">
    <w:name w:val="Menu Options"/>
    <w:basedOn w:val="DefaultParagraphFont"/>
    <w:rsid w:val="00A273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73EF"/>
    <w:rPr>
      <w:b/>
    </w:rPr>
  </w:style>
  <w:style w:type="character" w:customStyle="1" w:styleId="Underlined">
    <w:name w:val="Underlined"/>
    <w:basedOn w:val="DefaultParagraphFont"/>
    <w:rsid w:val="00A273EF"/>
    <w:rPr>
      <w:u w:val="single"/>
    </w:rPr>
  </w:style>
  <w:style w:type="paragraph" w:customStyle="1" w:styleId="TableBodyTextRight">
    <w:name w:val="Table Body Text Right"/>
    <w:basedOn w:val="TableBodyText"/>
    <w:rsid w:val="00A273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73EF"/>
    <w:rPr>
      <w:sz w:val="18"/>
    </w:rPr>
  </w:style>
  <w:style w:type="paragraph" w:customStyle="1" w:styleId="BodySmallRight">
    <w:name w:val="Body Small Right"/>
    <w:basedOn w:val="BodyTextRight"/>
    <w:rsid w:val="00A273EF"/>
    <w:rPr>
      <w:sz w:val="18"/>
      <w:szCs w:val="18"/>
    </w:rPr>
  </w:style>
  <w:style w:type="paragraph" w:customStyle="1" w:styleId="MarginEdition">
    <w:name w:val="Margin Edition"/>
    <w:basedOn w:val="MarginNote"/>
    <w:rsid w:val="00A273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73EF"/>
    <w:rPr>
      <w:sz w:val="2"/>
      <w:szCs w:val="2"/>
    </w:rPr>
  </w:style>
  <w:style w:type="character" w:customStyle="1" w:styleId="Small">
    <w:name w:val="Small"/>
    <w:basedOn w:val="DefaultParagraphFont"/>
    <w:rsid w:val="00A273EF"/>
    <w:rPr>
      <w:sz w:val="16"/>
    </w:rPr>
  </w:style>
  <w:style w:type="paragraph" w:customStyle="1" w:styleId="WideTable">
    <w:name w:val="Wide Table"/>
    <w:basedOn w:val="Normal"/>
    <w:rsid w:val="00A273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73EF"/>
  </w:style>
  <w:style w:type="paragraph" w:styleId="Quote">
    <w:name w:val="Quote"/>
    <w:basedOn w:val="Heading1"/>
    <w:link w:val="QuoteChar"/>
    <w:qFormat/>
    <w:rsid w:val="00A273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73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73EF"/>
    <w:pPr>
      <w:pageBreakBefore/>
    </w:pPr>
  </w:style>
  <w:style w:type="paragraph" w:customStyle="1" w:styleId="Border">
    <w:name w:val="Border"/>
    <w:basedOn w:val="Normal"/>
    <w:qFormat/>
    <w:rsid w:val="00A273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73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73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73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73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73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73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73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73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73EF"/>
    <w:rPr>
      <w:u w:val="single"/>
    </w:rPr>
  </w:style>
  <w:style w:type="character" w:customStyle="1" w:styleId="BoldandItalics">
    <w:name w:val="Bold and Italics"/>
    <w:qFormat/>
    <w:rsid w:val="00A273EF"/>
    <w:rPr>
      <w:b/>
      <w:i/>
      <w:u w:val="none"/>
    </w:rPr>
  </w:style>
  <w:style w:type="paragraph" w:styleId="BalloonText">
    <w:name w:val="Balloon Text"/>
    <w:basedOn w:val="Normal"/>
    <w:link w:val="BalloonTextChar"/>
    <w:rsid w:val="00A273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73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73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73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73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73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73E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C08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429</Words>
  <Characters>2965</Characters>
  <Application>Microsoft Office Word</Application>
  <DocSecurity>0</DocSecurity>
  <Lines>95</Lines>
  <Paragraphs>84</Paragraphs>
  <ScaleCrop>false</ScaleCrop>
  <Company>Author-it Software Corporation Ltd.</Company>
  <LinksUpToDate>false</LinksUpToDate>
  <CharactersWithSpaces>3310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AHCEXP304 Identify and select explosive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2025-02-11T07:08:00Z</dcterms:created>
  <dcterms:modified xsi:type="dcterms:W3CDTF">2025-02-11T07:08:00Z</dcterms:modified>
</cp:coreProperties>
</file>