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190" w:rsidP="00362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AHCEXP303 Prepare and use explosives</w:t>
      </w:r>
      <w:r>
        <w:fldChar w:fldCharType="end"/>
      </w:r>
    </w:p>
    <w:p w:rsidR="00362190" w:rsidP="00362190">
      <w:pPr>
        <w:pStyle w:val="Version"/>
        <w:sectPr w:rsidSect="00323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891" w:rsidP="00323891">
      <w:pPr>
        <w:pStyle w:val="SuperHeading"/>
      </w:pPr>
      <w:r w:rsidRPr="00323891">
        <w:t>AHCEXP303 Prepare and use explosives</w:t>
      </w:r>
    </w:p>
    <w:p w:rsidR="00000000" w:rsidRPr="00323891" w:rsidP="00323891">
      <w:pPr>
        <w:pStyle w:val="Heading1"/>
      </w:pPr>
      <w:bookmarkStart w:id="1" w:name="O_1150488"/>
      <w:bookmarkEnd w:id="1"/>
      <w:r w:rsidRPr="003238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Comments</w:t>
            </w:r>
          </w:p>
        </w:tc>
      </w:tr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This version released with AHC Agriculture, Horticulture and Conservation and Land Management Training Package Version 6.0.</w:t>
            </w:r>
          </w:p>
        </w:tc>
      </w:tr>
    </w:tbl>
    <w:p w:rsidR="00000000" w:rsidRPr="00323891" w:rsidP="00323891">
      <w:pPr>
        <w:pStyle w:val="BodyText"/>
      </w:pPr>
    </w:p>
    <w:p w:rsidR="00000000" w:rsidRPr="00323891" w:rsidP="00323891">
      <w:pPr>
        <w:pStyle w:val="AllowPageBreak"/>
      </w:pPr>
    </w:p>
    <w:p w:rsidR="00000000" w:rsidRPr="00323891" w:rsidP="00323891">
      <w:pPr>
        <w:pStyle w:val="Heading1"/>
      </w:pPr>
      <w:bookmarkStart w:id="2" w:name="O_1150489"/>
      <w:bookmarkEnd w:id="2"/>
      <w:r w:rsidRPr="00323891">
        <w:t>Application</w:t>
      </w:r>
    </w:p>
    <w:p w:rsidR="00000000" w:rsidRPr="00323891" w:rsidP="00362190">
      <w:pPr>
        <w:pStyle w:val="BodyText"/>
      </w:pPr>
      <w:r w:rsidRPr="00323891">
        <w:t>This unit of competency describes the skills and k</w:t>
      </w:r>
      <w:r w:rsidRPr="00323891">
        <w:t xml:space="preserve">nowledge required to prepare a blasting site and notify stakeholders of blasting work, mix explosives, detonate explosives using fuses, and render the blast site safe following legislative, regulatory and workplace procedures. </w:t>
      </w:r>
    </w:p>
    <w:p w:rsidR="00000000" w:rsidRPr="00323891" w:rsidP="00362190">
      <w:pPr>
        <w:pStyle w:val="BodyText"/>
      </w:pPr>
      <w:r w:rsidRPr="00323891">
        <w:t>The unit applies to individu</w:t>
      </w:r>
      <w:r w:rsidRPr="00323891">
        <w:t>als who work under broad direction and take responsibility for their own work. This includes using discretion and judgement in the selection and use of available resources for blasting.</w:t>
      </w:r>
    </w:p>
    <w:p w:rsidR="00000000" w:rsidRPr="00323891" w:rsidP="00362190">
      <w:pPr>
        <w:pStyle w:val="BodyText"/>
      </w:pPr>
      <w:r w:rsidRPr="00323891">
        <w:t>State or territory licensing, legislative or certification requirement</w:t>
      </w:r>
      <w:r w:rsidRPr="00323891">
        <w:t>s apply in some jurisdictions. Users are advised to check with the relevant regulatory authority.</w:t>
      </w:r>
    </w:p>
    <w:p w:rsidR="00000000" w:rsidRPr="00323891" w:rsidP="00323891">
      <w:pPr>
        <w:pStyle w:val="Heading1"/>
      </w:pPr>
      <w:bookmarkStart w:id="3" w:name="O_1150490"/>
      <w:bookmarkEnd w:id="3"/>
      <w:r w:rsidRPr="00323891">
        <w:t>Pre-requisite Unit</w:t>
      </w:r>
    </w:p>
    <w:p w:rsidR="00000000" w:rsidRPr="00323891" w:rsidP="00362190">
      <w:pPr>
        <w:pStyle w:val="BodyText"/>
      </w:pPr>
      <w:r w:rsidRPr="00323891">
        <w:t>Nil</w:t>
      </w:r>
    </w:p>
    <w:p w:rsidR="00000000" w:rsidRPr="00323891" w:rsidP="00323891">
      <w:pPr>
        <w:pStyle w:val="Heading1"/>
      </w:pPr>
      <w:bookmarkStart w:id="4" w:name="O_1150492"/>
      <w:bookmarkEnd w:id="4"/>
      <w:r w:rsidRPr="00323891">
        <w:t>Unit Sector</w:t>
      </w:r>
    </w:p>
    <w:p w:rsidR="00000000" w:rsidRPr="00323891" w:rsidP="00362190">
      <w:pPr>
        <w:pStyle w:val="BodyText"/>
      </w:pPr>
      <w:r w:rsidRPr="00323891">
        <w:t>Explosives (EXP)</w:t>
      </w:r>
    </w:p>
    <w:p w:rsidR="00000000" w:rsidRPr="00323891" w:rsidP="00323891">
      <w:pPr>
        <w:pStyle w:val="Heading1"/>
      </w:pPr>
      <w:bookmarkStart w:id="5" w:name="O_1150493"/>
      <w:bookmarkEnd w:id="5"/>
      <w:r w:rsidRPr="003238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1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Performance Criteria</w:t>
            </w:r>
          </w:p>
        </w:tc>
      </w:tr>
      <w:tr w:rsidTr="003621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1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1. Prepare for blasting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1.1 Obtain permits/licences and approved warning signs installed and pr</w:t>
            </w:r>
            <w:r w:rsidRPr="00323891">
              <w:t>ominently displayed according to legislative requirements</w:t>
            </w:r>
          </w:p>
          <w:p w:rsidR="00000000" w:rsidRPr="00323891" w:rsidP="00323891">
            <w:pPr>
              <w:pStyle w:val="BodyText"/>
            </w:pPr>
            <w:r w:rsidRPr="00323891">
              <w:t>1.2 Notify property manager, neighbours and controlling authority and other stakeholders of blasting plan and timing according to legislation</w:t>
            </w:r>
          </w:p>
          <w:p w:rsidR="00000000" w:rsidRPr="00323891" w:rsidP="00323891">
            <w:pPr>
              <w:pStyle w:val="BodyText"/>
            </w:pPr>
            <w:r w:rsidRPr="00323891">
              <w:t>1.3 Clear blast site of stones and other potential missi</w:t>
            </w:r>
            <w:r w:rsidRPr="00323891">
              <w:t xml:space="preserve">les and ensure </w:t>
            </w:r>
            <w:r w:rsidRPr="00323891">
              <w:t>the site is made safe</w:t>
            </w:r>
          </w:p>
          <w:p w:rsidR="00000000" w:rsidRPr="00323891" w:rsidP="00323891">
            <w:pPr>
              <w:pStyle w:val="BodyText"/>
            </w:pPr>
            <w:r w:rsidRPr="00323891">
              <w:t>1.4 Place explosive products at required safety distance from identified hazards</w:t>
            </w:r>
          </w:p>
          <w:p w:rsidR="00000000" w:rsidRPr="00323891" w:rsidP="00323891">
            <w:pPr>
              <w:pStyle w:val="BodyText"/>
            </w:pPr>
            <w:r w:rsidRPr="00323891">
              <w:t>1.5 Prepare holes for charge(s) according to blasting plan</w:t>
            </w:r>
          </w:p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1.6 Remove</w:t>
            </w:r>
            <w:r w:rsidRPr="00323891">
              <w:t xml:space="preserve"> equipment used for preparing holes to prescribed safe distance according to Australian Standards, legislation and regulations</w:t>
            </w:r>
          </w:p>
        </w:tc>
      </w:tr>
      <w:tr w:rsidTr="003621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2. Prepare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2.1 Calculate quantities of explosive components required to achieve the desired blast for prevailing cond</w:t>
            </w:r>
            <w:r w:rsidRPr="00323891">
              <w:t>itions</w:t>
            </w:r>
          </w:p>
          <w:p w:rsidR="00000000" w:rsidRPr="00323891" w:rsidP="00323891">
            <w:pPr>
              <w:pStyle w:val="BodyText"/>
            </w:pPr>
            <w:r w:rsidRPr="00323891">
              <w:t>2.2 Transport explosives or explosive mix to site according to workplace health and safety procedures and legislative requirements</w:t>
            </w:r>
          </w:p>
          <w:p w:rsidR="00000000" w:rsidRPr="00323891" w:rsidP="00323891">
            <w:pPr>
              <w:pStyle w:val="BodyText"/>
            </w:pPr>
            <w:r w:rsidRPr="00323891">
              <w:t>2.3 Calculate the precise explosive components to ensure minimum residual mix to be destroyed</w:t>
            </w:r>
          </w:p>
          <w:p w:rsidR="00000000" w:rsidRPr="00323891" w:rsidP="00323891">
            <w:pPr>
              <w:pStyle w:val="BodyText"/>
            </w:pPr>
            <w:r w:rsidRPr="00323891">
              <w:t>2.4 Prepare explosives a</w:t>
            </w:r>
            <w:r w:rsidRPr="00323891">
              <w:t>ccording to defined recipe and requirements according to workplace procedures</w:t>
            </w:r>
          </w:p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2.5 Assemble fusing and detonating components for explosive requirements in preparation for blasting</w:t>
            </w:r>
          </w:p>
        </w:tc>
      </w:tr>
      <w:tr w:rsidTr="003621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3. Place charges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3.1 Place or pack explosives elements in prepared holes acc</w:t>
            </w:r>
            <w:r w:rsidRPr="00323891">
              <w:t>ording to safe working procedures, Australian Standards, legislation and regulations</w:t>
            </w:r>
          </w:p>
          <w:p w:rsidR="00000000" w:rsidRPr="00323891" w:rsidP="00323891">
            <w:pPr>
              <w:pStyle w:val="BodyText"/>
            </w:pPr>
            <w:r w:rsidRPr="00323891">
              <w:t>3.2 Stem and tamp holes prior to the attachment of the firing system according to blasting requirement and safety procedures</w:t>
            </w:r>
          </w:p>
          <w:p w:rsidR="00000000" w:rsidRPr="00323891" w:rsidP="00323891">
            <w:pPr>
              <w:pStyle w:val="BodyText"/>
            </w:pPr>
            <w:r w:rsidRPr="00323891">
              <w:t>3.3 Check electrical firing circuits or fire f</w:t>
            </w:r>
            <w:r w:rsidRPr="00323891">
              <w:t>uses for continuity and/or earthing</w:t>
            </w:r>
          </w:p>
          <w:p w:rsidR="00000000" w:rsidRPr="00323891" w:rsidP="00323891">
            <w:pPr>
              <w:pStyle w:val="BodyText"/>
            </w:pPr>
            <w:r w:rsidRPr="00323891">
              <w:t>3.4 Clear extraneous materials from blast site to safe distances in accordance with workplace standards</w:t>
            </w:r>
          </w:p>
          <w:p w:rsidR="00000000" w:rsidRPr="00323891" w:rsidP="00323891">
            <w:pPr>
              <w:pStyle w:val="BodyText"/>
            </w:pPr>
            <w:r w:rsidRPr="00323891">
              <w:t>3.5 Re-check blast site and surrounds to ensure that non-essential personnel are not endangered</w:t>
            </w:r>
          </w:p>
          <w:p w:rsidR="00000000" w:rsidRPr="00323891" w:rsidP="00323891">
            <w:pPr>
              <w:pStyle w:val="BodyText"/>
            </w:pPr>
            <w:r w:rsidRPr="00323891">
              <w:t>3.6 Place blasting m</w:t>
            </w:r>
            <w:r w:rsidRPr="00323891">
              <w:t>ats or other control devices according to blasting plan</w:t>
            </w:r>
          </w:p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3.7 Guard blast area according to legislative requirements and workplace procedures</w:t>
            </w:r>
          </w:p>
        </w:tc>
      </w:tr>
      <w:tr w:rsidTr="003621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4. Fire charges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4.1 Implement prescribed warning notification procedures according to workplace procedures and indu</w:t>
            </w:r>
            <w:r w:rsidRPr="00323891">
              <w:t>stry standards</w:t>
            </w:r>
          </w:p>
          <w:p w:rsidR="00000000" w:rsidRPr="00323891" w:rsidP="00323891">
            <w:pPr>
              <w:pStyle w:val="BodyText"/>
            </w:pPr>
            <w:r w:rsidRPr="00323891">
              <w:t xml:space="preserve">4.2 Re-check blasting site to ensure correct placement of explosives </w:t>
            </w:r>
            <w:r w:rsidRPr="00323891">
              <w:t>and all safety procedures have been implemented according to supervisor or shot firer instructions</w:t>
            </w:r>
          </w:p>
          <w:p w:rsidR="00000000" w:rsidRPr="00323891" w:rsidP="00323891">
            <w:pPr>
              <w:pStyle w:val="BodyText"/>
            </w:pPr>
            <w:r w:rsidRPr="00323891">
              <w:t>4.3 Implement audible and visual warning signals according to workplace s</w:t>
            </w:r>
            <w:r w:rsidRPr="00323891">
              <w:t>afety procedures</w:t>
            </w:r>
          </w:p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4.4 Initiate firing procedures using manual or electric firing system according to blasting plan</w:t>
            </w:r>
          </w:p>
        </w:tc>
      </w:tr>
      <w:tr w:rsidTr="003621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5. Conduct post-firing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5.1 Ensure misfires are identified prior to all-clear signals being given by count charges during firing procedure or inspection of blast site</w:t>
            </w:r>
          </w:p>
          <w:p w:rsidR="00000000" w:rsidRPr="00323891" w:rsidP="00323891">
            <w:pPr>
              <w:pStyle w:val="BodyText"/>
            </w:pPr>
            <w:r w:rsidRPr="00323891">
              <w:t>5.2 Implement misfire procedures according to workplace and regulatory requirements</w:t>
            </w:r>
          </w:p>
          <w:p w:rsidR="00000000" w:rsidRPr="00323891" w:rsidP="00323891">
            <w:pPr>
              <w:pStyle w:val="BodyText"/>
            </w:pPr>
            <w:r w:rsidRPr="00323891">
              <w:t>5.3 Ensure site is safe and a</w:t>
            </w:r>
            <w:r w:rsidRPr="00323891">
              <w:t>ll-clear signal is given according to industry practice and legislative requirements</w:t>
            </w:r>
          </w:p>
          <w:p w:rsidR="00000000" w:rsidRPr="00323891" w:rsidP="00323891">
            <w:pPr>
              <w:pStyle w:val="BodyText"/>
            </w:pPr>
            <w:r w:rsidRPr="00323891">
              <w:t>5.4 Discard, destroy or store surplus, unserviceable and defective explosives and detonators according to workplace and environmental procedures</w:t>
            </w:r>
          </w:p>
          <w:p w:rsidR="00000000" w:rsidRPr="00323891" w:rsidP="00323891">
            <w:pPr>
              <w:pStyle w:val="BodyText"/>
            </w:pPr>
            <w:r w:rsidRPr="00323891">
              <w:t>5.5 Maintain records accor</w:t>
            </w:r>
            <w:r w:rsidRPr="00323891">
              <w:t>ding to workplace and legislative requirements</w:t>
            </w:r>
          </w:p>
        </w:tc>
      </w:tr>
    </w:tbl>
    <w:p w:rsidR="00000000" w:rsidRPr="00323891" w:rsidP="00323891">
      <w:pPr>
        <w:pStyle w:val="BodyText"/>
      </w:pPr>
    </w:p>
    <w:p w:rsidR="00000000" w:rsidRPr="00323891" w:rsidP="00323891">
      <w:pPr>
        <w:pStyle w:val="AllowPageBreak"/>
      </w:pPr>
    </w:p>
    <w:p w:rsidR="00000000" w:rsidRPr="00323891" w:rsidP="00323891">
      <w:pPr>
        <w:pStyle w:val="Heading1"/>
      </w:pPr>
      <w:bookmarkStart w:id="6" w:name="O_1150494"/>
      <w:bookmarkEnd w:id="6"/>
      <w:r w:rsidRPr="00323891">
        <w:t>Foundation Skills</w:t>
      </w:r>
    </w:p>
    <w:p w:rsidR="00000000" w:rsidRPr="00362190" w:rsidP="00362190">
      <w:pPr>
        <w:pStyle w:val="BodyText"/>
        <w:rPr>
          <w:i/>
        </w:rPr>
      </w:pPr>
      <w:r w:rsidRPr="00362190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362190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Description</w:t>
            </w:r>
          </w:p>
        </w:tc>
      </w:tr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ListBullet"/>
              <w:rPr>
                <w:lang w:val="en-NZ"/>
              </w:rPr>
            </w:pPr>
            <w:r w:rsidRPr="00323891">
              <w:t>Interpret permits, regulations and explosive documentation and consolidate information to determine requirements for the safe use of explosives</w:t>
            </w:r>
          </w:p>
        </w:tc>
      </w:tr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ListBullet"/>
              <w:rPr>
                <w:lang w:val="en-NZ"/>
              </w:rPr>
            </w:pPr>
            <w:r w:rsidRPr="00323891">
              <w:t xml:space="preserve">Legibly and accrurately complete permit applications, signage and notifications for explosive use </w:t>
            </w:r>
          </w:p>
        </w:tc>
      </w:tr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ListBullet"/>
              <w:rPr>
                <w:lang w:val="en-NZ"/>
              </w:rPr>
            </w:pPr>
            <w:r w:rsidRPr="00323891">
              <w:t xml:space="preserve">Communicate with neighbours and stakeholders about blasting works including active listening and responding to questions or concerns </w:t>
            </w:r>
          </w:p>
        </w:tc>
      </w:tr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ListBullet"/>
            </w:pPr>
            <w:r w:rsidRPr="00323891">
              <w:t xml:space="preserve">Calculate quantities for explosive materials </w:t>
            </w:r>
          </w:p>
        </w:tc>
      </w:tr>
    </w:tbl>
    <w:p w:rsidR="00000000" w:rsidRPr="00323891" w:rsidP="00323891">
      <w:pPr>
        <w:pStyle w:val="BodyText"/>
      </w:pPr>
    </w:p>
    <w:p w:rsidR="00000000" w:rsidRPr="00323891" w:rsidP="00323891">
      <w:pPr>
        <w:pStyle w:val="AllowPageBreak"/>
      </w:pPr>
    </w:p>
    <w:p w:rsidR="00000000" w:rsidRPr="00323891" w:rsidP="00323891">
      <w:pPr>
        <w:pStyle w:val="Heading1"/>
      </w:pPr>
      <w:bookmarkStart w:id="7" w:name="O_1150496"/>
      <w:bookmarkEnd w:id="7"/>
      <w:r w:rsidRPr="003238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Bold"/>
              <w:rPr>
                <w:lang w:val="en-NZ"/>
              </w:rPr>
            </w:pPr>
            <w:r w:rsidRPr="00323891">
              <w:t>Equivalence status</w:t>
            </w:r>
          </w:p>
        </w:tc>
      </w:tr>
      <w:tr w:rsidTr="00323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AHCEXP303 Prepare and use explosives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AHCEXP303A Prepare and use explosives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Reinstated previously deleted unit</w:t>
            </w:r>
          </w:p>
          <w:p w:rsidR="00000000" w:rsidRPr="00323891" w:rsidP="00323891">
            <w:pPr>
              <w:pStyle w:val="BodyText"/>
            </w:pPr>
            <w:r w:rsidRPr="00323891">
              <w:t>Updated to meet Standards</w:t>
            </w:r>
          </w:p>
          <w:p w:rsidR="00000000" w:rsidRPr="00323891" w:rsidP="00323891">
            <w:pPr>
              <w:pStyle w:val="BodyText"/>
            </w:pPr>
            <w:r w:rsidRPr="00323891">
              <w:t>Minor changes to Performance Criteria</w:t>
            </w:r>
          </w:p>
          <w:p w:rsidR="00000000" w:rsidP="00323891">
            <w:pPr>
              <w:pStyle w:val="BodyText"/>
              <w:rPr>
                <w:lang w:val="en-NZ"/>
              </w:rPr>
            </w:pPr>
            <w:r w:rsidRPr="00323891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1" w:rsidP="00323891">
            <w:pPr>
              <w:pStyle w:val="BodyText"/>
            </w:pPr>
            <w:r w:rsidRPr="00323891">
              <w:t>Equivalent</w:t>
            </w:r>
          </w:p>
        </w:tc>
      </w:tr>
    </w:tbl>
    <w:p w:rsidR="00000000" w:rsidRPr="00323891" w:rsidP="00323891">
      <w:pPr>
        <w:pStyle w:val="BodyText"/>
      </w:pPr>
    </w:p>
    <w:p w:rsidR="00000000" w:rsidRPr="00323891" w:rsidP="00323891">
      <w:pPr>
        <w:pStyle w:val="AllowPageBreak"/>
      </w:pPr>
    </w:p>
    <w:p w:rsidR="00000000" w:rsidRPr="00323891" w:rsidP="00323891">
      <w:pPr>
        <w:pStyle w:val="Heading1"/>
      </w:pPr>
      <w:bookmarkStart w:id="8" w:name="O_1150503"/>
      <w:bookmarkEnd w:id="8"/>
      <w:r w:rsidRPr="00323891">
        <w:t>Links</w:t>
      </w:r>
    </w:p>
    <w:p w:rsidR="00000000" w:rsidRPr="00323891" w:rsidP="00362190">
      <w:pPr>
        <w:pStyle w:val="BodyText"/>
      </w:pPr>
      <w:r w:rsidRPr="00323891">
        <w:t>Compa</w:t>
      </w:r>
      <w:r w:rsidRPr="00323891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1D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3891" w:rsidP="00323891"/>
    <w:sectPr w:rsidSect="003238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1" w:rsidRPr="00362190" w:rsidP="00362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90" w:rsidP="00323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190" w:rsidP="00323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2190" w:rsidP="00323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891" w:rsidRPr="00362190" w:rsidP="00362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90" w:rsidRPr="002D2AF8" w:rsidP="00323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AHCEXP303 Prepare and use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62190" w:rsidP="00323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08D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7EA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891"/>
  </w:style>
  <w:style w:type="character" w:customStyle="1" w:styleId="Heading1Char">
    <w:name w:val="Heading 1 Char"/>
    <w:basedOn w:val="DefaultParagraphFont"/>
    <w:link w:val="Heading1"/>
    <w:rsid w:val="00323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89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3891"/>
    <w:rPr>
      <w:i/>
    </w:rPr>
  </w:style>
  <w:style w:type="paragraph" w:customStyle="1" w:styleId="SuperHeading">
    <w:name w:val="SuperHeading"/>
    <w:basedOn w:val="Normal"/>
    <w:rsid w:val="00323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3891"/>
    <w:rPr>
      <w:b/>
    </w:rPr>
  </w:style>
  <w:style w:type="character" w:customStyle="1" w:styleId="Heading2Char">
    <w:name w:val="Heading 2 Char"/>
    <w:basedOn w:val="DefaultParagraphFont"/>
    <w:link w:val="Heading2"/>
    <w:rsid w:val="00323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891"/>
    <w:rPr>
      <w:b/>
      <w:spacing w:val="0"/>
    </w:rPr>
  </w:style>
  <w:style w:type="paragraph" w:customStyle="1" w:styleId="SuperTitle">
    <w:name w:val="SuperTitle"/>
    <w:basedOn w:val="Title"/>
    <w:rsid w:val="00323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8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8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891"/>
  </w:style>
  <w:style w:type="paragraph" w:styleId="TableofFigures">
    <w:name w:val="table of figures"/>
    <w:basedOn w:val="Normal"/>
    <w:next w:val="Normal"/>
    <w:semiHidden/>
    <w:rsid w:val="00323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8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3891"/>
    <w:rPr>
      <w:rFonts w:ascii="Wingdings" w:hAnsi="Wingdings"/>
    </w:rPr>
  </w:style>
  <w:style w:type="paragraph" w:customStyle="1" w:styleId="TableHeading">
    <w:name w:val="Table Heading"/>
    <w:basedOn w:val="HeadingBase"/>
    <w:rsid w:val="00323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891"/>
    <w:rPr>
      <w:color w:val="0033CC"/>
      <w:u w:val="none"/>
    </w:rPr>
  </w:style>
  <w:style w:type="paragraph" w:customStyle="1" w:styleId="BodyTextRight">
    <w:name w:val="Body Text Right"/>
    <w:basedOn w:val="BodyText"/>
    <w:rsid w:val="00323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8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891"/>
    <w:rPr>
      <w:sz w:val="32"/>
    </w:rPr>
  </w:style>
  <w:style w:type="paragraph" w:customStyle="1" w:styleId="HeadingProcedure">
    <w:name w:val="Heading Procedure"/>
    <w:basedOn w:val="HeadingBase"/>
    <w:next w:val="Normal"/>
    <w:rsid w:val="00323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891"/>
    <w:pPr>
      <w:spacing w:before="60" w:after="60"/>
    </w:pPr>
  </w:style>
  <w:style w:type="paragraph" w:styleId="ListContinue">
    <w:name w:val="List Continue"/>
    <w:basedOn w:val="List"/>
    <w:rsid w:val="00323891"/>
    <w:pPr>
      <w:ind w:firstLine="0"/>
    </w:pPr>
  </w:style>
  <w:style w:type="paragraph" w:customStyle="1" w:styleId="ListNote">
    <w:name w:val="List Note"/>
    <w:basedOn w:val="List"/>
    <w:rsid w:val="00323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891"/>
    <w:rPr>
      <w:rFonts w:ascii="Courier New" w:hAnsi="Courier New"/>
    </w:rPr>
  </w:style>
  <w:style w:type="paragraph" w:customStyle="1" w:styleId="NoteBullet">
    <w:name w:val="Note Bullet"/>
    <w:basedOn w:val="Note"/>
    <w:rsid w:val="00323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8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3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891"/>
    <w:rPr>
      <w:b/>
      <w:smallCaps/>
    </w:rPr>
  </w:style>
  <w:style w:type="paragraph" w:customStyle="1" w:styleId="TableListNumber">
    <w:name w:val="Table List Number"/>
    <w:basedOn w:val="ListNumber"/>
    <w:rsid w:val="00323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891"/>
    <w:pPr>
      <w:numPr>
        <w:numId w:val="8"/>
      </w:numPr>
    </w:pPr>
  </w:style>
  <w:style w:type="paragraph" w:customStyle="1" w:styleId="ListAlpha2">
    <w:name w:val="List Alpha 2"/>
    <w:basedOn w:val="List2"/>
    <w:rsid w:val="00323891"/>
    <w:pPr>
      <w:numPr>
        <w:numId w:val="7"/>
      </w:numPr>
    </w:pPr>
  </w:style>
  <w:style w:type="paragraph" w:styleId="List2">
    <w:name w:val="List 2"/>
    <w:basedOn w:val="BodyText"/>
    <w:rsid w:val="00323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8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8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3891"/>
    <w:pPr>
      <w:numPr>
        <w:numId w:val="3"/>
      </w:numPr>
    </w:pPr>
  </w:style>
  <w:style w:type="paragraph" w:styleId="ListContinue2">
    <w:name w:val="List Continue 2"/>
    <w:basedOn w:val="List2"/>
    <w:rsid w:val="00323891"/>
    <w:pPr>
      <w:ind w:firstLine="0"/>
    </w:pPr>
  </w:style>
  <w:style w:type="paragraph" w:styleId="ListContinue3">
    <w:name w:val="List Continue 3"/>
    <w:basedOn w:val="List3"/>
    <w:rsid w:val="00323891"/>
    <w:pPr>
      <w:ind w:left="1021" w:firstLine="0"/>
    </w:pPr>
  </w:style>
  <w:style w:type="paragraph" w:styleId="ListContinue4">
    <w:name w:val="List Continue 4"/>
    <w:basedOn w:val="List4"/>
    <w:rsid w:val="00323891"/>
    <w:pPr>
      <w:ind w:firstLine="0"/>
    </w:pPr>
  </w:style>
  <w:style w:type="paragraph" w:styleId="ListContinue5">
    <w:name w:val="List Continue 5"/>
    <w:basedOn w:val="List5"/>
    <w:rsid w:val="00323891"/>
    <w:pPr>
      <w:ind w:firstLine="0"/>
    </w:pPr>
  </w:style>
  <w:style w:type="paragraph" w:styleId="ListNumber3">
    <w:name w:val="List Number 3"/>
    <w:basedOn w:val="List3"/>
    <w:rsid w:val="00323891"/>
    <w:pPr>
      <w:numPr>
        <w:numId w:val="4"/>
      </w:numPr>
    </w:pPr>
  </w:style>
  <w:style w:type="paragraph" w:styleId="ListNumber4">
    <w:name w:val="List Number 4"/>
    <w:basedOn w:val="List4"/>
    <w:rsid w:val="00323891"/>
    <w:pPr>
      <w:numPr>
        <w:numId w:val="5"/>
      </w:numPr>
    </w:pPr>
  </w:style>
  <w:style w:type="paragraph" w:styleId="ListNumber5">
    <w:name w:val="List Number 5"/>
    <w:basedOn w:val="List5"/>
    <w:rsid w:val="00323891"/>
    <w:pPr>
      <w:numPr>
        <w:numId w:val="6"/>
      </w:numPr>
    </w:pPr>
  </w:style>
  <w:style w:type="paragraph" w:styleId="BlockText">
    <w:name w:val="Block Text"/>
    <w:basedOn w:val="Normal"/>
    <w:rsid w:val="00323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891"/>
    <w:rPr>
      <w:sz w:val="16"/>
      <w:vertAlign w:val="superscript"/>
    </w:rPr>
  </w:style>
  <w:style w:type="character" w:customStyle="1" w:styleId="Symbols">
    <w:name w:val="Symbols"/>
    <w:basedOn w:val="DefaultParagraphFont"/>
    <w:rsid w:val="00323891"/>
    <w:rPr>
      <w:rFonts w:ascii="Symbol" w:hAnsi="Symbol"/>
    </w:rPr>
  </w:style>
  <w:style w:type="character" w:customStyle="1" w:styleId="MenuOptions">
    <w:name w:val="Menu Options"/>
    <w:basedOn w:val="DefaultParagraphFont"/>
    <w:rsid w:val="00323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891"/>
    <w:rPr>
      <w:b/>
    </w:rPr>
  </w:style>
  <w:style w:type="character" w:customStyle="1" w:styleId="Underlined">
    <w:name w:val="Underlined"/>
    <w:basedOn w:val="DefaultParagraphFont"/>
    <w:rsid w:val="00323891"/>
    <w:rPr>
      <w:u w:val="single"/>
    </w:rPr>
  </w:style>
  <w:style w:type="paragraph" w:customStyle="1" w:styleId="TableBodyTextRight">
    <w:name w:val="Table Body Text Right"/>
    <w:basedOn w:val="TableBodyText"/>
    <w:rsid w:val="00323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891"/>
    <w:rPr>
      <w:sz w:val="18"/>
    </w:rPr>
  </w:style>
  <w:style w:type="paragraph" w:customStyle="1" w:styleId="BodySmallRight">
    <w:name w:val="Body Small Right"/>
    <w:basedOn w:val="BodyTextRight"/>
    <w:rsid w:val="00323891"/>
    <w:rPr>
      <w:sz w:val="18"/>
      <w:szCs w:val="18"/>
    </w:rPr>
  </w:style>
  <w:style w:type="paragraph" w:customStyle="1" w:styleId="MarginEdition">
    <w:name w:val="Margin Edition"/>
    <w:basedOn w:val="MarginNote"/>
    <w:rsid w:val="00323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891"/>
    <w:rPr>
      <w:sz w:val="2"/>
      <w:szCs w:val="2"/>
    </w:rPr>
  </w:style>
  <w:style w:type="character" w:customStyle="1" w:styleId="Small">
    <w:name w:val="Small"/>
    <w:basedOn w:val="DefaultParagraphFont"/>
    <w:rsid w:val="00323891"/>
    <w:rPr>
      <w:sz w:val="16"/>
    </w:rPr>
  </w:style>
  <w:style w:type="paragraph" w:customStyle="1" w:styleId="WideTable">
    <w:name w:val="Wide Table"/>
    <w:basedOn w:val="Normal"/>
    <w:rsid w:val="00323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891"/>
  </w:style>
  <w:style w:type="paragraph" w:styleId="Quote">
    <w:name w:val="Quote"/>
    <w:basedOn w:val="Heading1"/>
    <w:link w:val="QuoteChar"/>
    <w:qFormat/>
    <w:rsid w:val="00323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891"/>
    <w:pPr>
      <w:pageBreakBefore/>
    </w:pPr>
  </w:style>
  <w:style w:type="paragraph" w:customStyle="1" w:styleId="Border">
    <w:name w:val="Border"/>
    <w:basedOn w:val="Normal"/>
    <w:qFormat/>
    <w:rsid w:val="00323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891"/>
    <w:rPr>
      <w:u w:val="single"/>
    </w:rPr>
  </w:style>
  <w:style w:type="character" w:customStyle="1" w:styleId="BoldandItalics">
    <w:name w:val="Bold and Italics"/>
    <w:qFormat/>
    <w:rsid w:val="00323891"/>
    <w:rPr>
      <w:b/>
      <w:i/>
      <w:u w:val="none"/>
    </w:rPr>
  </w:style>
  <w:style w:type="paragraph" w:styleId="BalloonText">
    <w:name w:val="Balloon Text"/>
    <w:basedOn w:val="Normal"/>
    <w:link w:val="BalloonTextChar"/>
    <w:rsid w:val="00323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8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2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756</Words>
  <Characters>4898</Characters>
  <Application>Microsoft Office Word</Application>
  <DocSecurity>0</DocSecurity>
  <Lines>158</Lines>
  <Paragraphs>94</Paragraphs>
  <ScaleCrop>false</ScaleCrop>
  <Company>Author-it Software Corporation Ltd.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AHCEXP303 Prepare and use explosives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