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CD9" w:rsidP="00053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AHCCHM301 Use application equipment to apply fumigant in confined spaces</w:t>
      </w:r>
      <w:r>
        <w:fldChar w:fldCharType="end"/>
      </w:r>
    </w:p>
    <w:p w:rsidR="00053CD9" w:rsidP="00053CD9">
      <w:pPr>
        <w:pStyle w:val="Version"/>
        <w:sectPr w:rsidSect="001E1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14B" w:rsidP="001E114B">
      <w:pPr>
        <w:pStyle w:val="SuperHeading"/>
      </w:pPr>
      <w:r w:rsidRPr="001E114B">
        <w:t>AHCCHM301 Use application equipment to apply fumigant in confined spaces</w:t>
      </w:r>
    </w:p>
    <w:p w:rsidR="00000000" w:rsidRPr="001E114B" w:rsidP="001E114B">
      <w:pPr>
        <w:pStyle w:val="Heading1"/>
      </w:pPr>
      <w:bookmarkStart w:id="1" w:name="O_878211"/>
      <w:bookmarkEnd w:id="1"/>
      <w:r w:rsidRPr="001E1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1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TableHeading"/>
              <w:rPr>
                <w:lang w:val="en-NZ"/>
              </w:rPr>
            </w:pPr>
            <w:r w:rsidRPr="001E11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TableHeading"/>
              <w:rPr>
                <w:lang w:val="en-NZ"/>
              </w:rPr>
            </w:pPr>
            <w:r w:rsidRPr="001E11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TableHeading"/>
              <w:rPr>
                <w:lang w:val="en-NZ"/>
              </w:rPr>
            </w:pPr>
            <w:r w:rsidRPr="001E114B">
              <w:t>Comment</w:t>
            </w:r>
          </w:p>
        </w:tc>
      </w:tr>
      <w:tr w:rsidTr="001E1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BodyText"/>
              <w:rPr>
                <w:lang w:val="en-NZ"/>
              </w:rPr>
            </w:pPr>
            <w:r w:rsidRPr="001E11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BodyText"/>
              <w:rPr>
                <w:lang w:val="en-NZ"/>
              </w:rPr>
            </w:pPr>
            <w:r w:rsidRPr="001E11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BodyText"/>
            </w:pPr>
            <w:r w:rsidRPr="001E114B">
              <w:t>Initial release</w:t>
            </w:r>
          </w:p>
        </w:tc>
      </w:tr>
    </w:tbl>
    <w:p w:rsidR="00000000" w:rsidRPr="001E114B" w:rsidP="001E114B">
      <w:pPr>
        <w:pStyle w:val="BodyText"/>
      </w:pPr>
    </w:p>
    <w:p w:rsidR="00000000" w:rsidRPr="001E114B" w:rsidP="001E114B">
      <w:pPr>
        <w:pStyle w:val="AllowPageBreak"/>
      </w:pPr>
    </w:p>
    <w:p w:rsidR="00000000" w:rsidRPr="001E114B" w:rsidP="001E114B">
      <w:pPr>
        <w:pStyle w:val="Heading1"/>
      </w:pPr>
      <w:bookmarkStart w:id="2" w:name="O_878212"/>
      <w:bookmarkEnd w:id="2"/>
      <w:r w:rsidRPr="001E114B">
        <w:t>Application</w:t>
      </w:r>
    </w:p>
    <w:p w:rsidR="00000000" w:rsidRPr="001E114B" w:rsidP="001E114B">
      <w:pPr>
        <w:pStyle w:val="BodyText"/>
      </w:pPr>
      <w:r w:rsidRPr="001E114B">
        <w:t>This unit of competency describes the skills and knowledge required to use application equipment to fumigate grain, seed, crops and plants in confined spaces.</w:t>
      </w:r>
    </w:p>
    <w:p w:rsidR="00000000" w:rsidRPr="001E114B" w:rsidP="001E114B">
      <w:pPr>
        <w:pStyle w:val="BodyText"/>
      </w:pPr>
    </w:p>
    <w:p w:rsidR="00000000" w:rsidRPr="001E114B" w:rsidP="001E114B">
      <w:pPr>
        <w:pStyle w:val="BodyText"/>
      </w:pPr>
      <w:r w:rsidRPr="001E114B">
        <w:t>All work must be carried out to comply with workplace procedures, work health and safety and pes</w:t>
      </w:r>
      <w:r w:rsidRPr="001E114B">
        <w:t>ticide legislation and codes.</w:t>
      </w:r>
    </w:p>
    <w:p w:rsidR="00000000" w:rsidRPr="001E114B" w:rsidP="001E114B">
      <w:pPr>
        <w:pStyle w:val="BodyText"/>
      </w:pPr>
    </w:p>
    <w:p w:rsidR="00000000" w:rsidRPr="001E114B" w:rsidP="001E114B">
      <w:pPr>
        <w:pStyle w:val="BodyText"/>
      </w:pPr>
      <w:r w:rsidRPr="001E114B">
        <w:t>All work is carried out to comply with Safety Data Sheets and chemical label directions.</w:t>
      </w:r>
    </w:p>
    <w:p w:rsidR="00000000" w:rsidRPr="001E114B" w:rsidP="001E114B">
      <w:pPr>
        <w:pStyle w:val="BodyText"/>
      </w:pPr>
    </w:p>
    <w:p w:rsidR="00000000" w:rsidRPr="001E114B" w:rsidP="001E114B">
      <w:pPr>
        <w:pStyle w:val="BodyText"/>
      </w:pPr>
      <w:r w:rsidRPr="001E114B">
        <w:t>This unit does not cover individuals physically entering and working within an enclosed or confined space.</w:t>
      </w:r>
    </w:p>
    <w:p w:rsidR="00000000" w:rsidRPr="001E114B" w:rsidP="001E114B">
      <w:pPr>
        <w:pStyle w:val="BodyText"/>
      </w:pPr>
    </w:p>
    <w:p w:rsidR="00000000" w:rsidRPr="001E114B" w:rsidP="001E114B">
      <w:pPr>
        <w:pStyle w:val="BodyText"/>
      </w:pPr>
      <w:r w:rsidRPr="001E114B">
        <w:t>This unit applies to indivi</w:t>
      </w:r>
      <w:r w:rsidRPr="001E114B">
        <w:t>duals who work under broad direction and take responsibility for their own work and use discretion and judgement in the selection and use of available resources.</w:t>
      </w:r>
    </w:p>
    <w:p w:rsidR="00000000" w:rsidRPr="001E114B" w:rsidP="001E114B">
      <w:pPr>
        <w:pStyle w:val="BodyText"/>
      </w:pPr>
    </w:p>
    <w:p w:rsidR="00000000" w:rsidRPr="001E114B" w:rsidP="001E114B">
      <w:pPr>
        <w:pStyle w:val="BodyText"/>
      </w:pPr>
      <w:r w:rsidRPr="001E114B">
        <w:t>Licensing, legislative, regulatory or certification requirements may apply to this unit. Cand</w:t>
      </w:r>
      <w:r w:rsidRPr="001E114B">
        <w:t>idates should confirm the regulatory requirements that apply in their relevant State or Territory before undertaking this unit.</w:t>
      </w:r>
    </w:p>
    <w:p w:rsidR="00000000" w:rsidRPr="001E114B" w:rsidP="001E114B">
      <w:pPr>
        <w:pStyle w:val="AllowPageBreak"/>
      </w:pPr>
    </w:p>
    <w:p w:rsidR="00000000" w:rsidRPr="001E114B" w:rsidP="001E114B">
      <w:pPr>
        <w:pStyle w:val="Heading1"/>
      </w:pPr>
      <w:bookmarkStart w:id="3" w:name="O_878213"/>
      <w:bookmarkEnd w:id="3"/>
      <w:r w:rsidRPr="001E114B">
        <w:t>Pre-requisite Unit</w:t>
      </w:r>
    </w:p>
    <w:p w:rsidR="00000000" w:rsidRPr="001E114B" w:rsidP="001E114B">
      <w:pPr>
        <w:pStyle w:val="BodyText"/>
      </w:pPr>
      <w:r w:rsidRPr="001E114B">
        <w:t>AHCCHM303 Prepare and apply chemicals</w:t>
      </w:r>
    </w:p>
    <w:p w:rsidR="00000000" w:rsidRPr="001E114B" w:rsidP="001E114B">
      <w:pPr>
        <w:pStyle w:val="BodyText"/>
      </w:pPr>
      <w:r w:rsidRPr="001E114B">
        <w:t>AHCCHM304 Transport and store chemicals</w:t>
      </w:r>
    </w:p>
    <w:p w:rsidR="00000000" w:rsidRPr="001E114B" w:rsidP="001E114B">
      <w:pPr>
        <w:pStyle w:val="AllowPageBreak"/>
      </w:pPr>
    </w:p>
    <w:p w:rsidR="00000000" w:rsidRPr="001E114B" w:rsidP="001E114B">
      <w:pPr>
        <w:pStyle w:val="Heading1"/>
      </w:pPr>
      <w:bookmarkStart w:id="4" w:name="O_878215"/>
      <w:bookmarkEnd w:id="4"/>
      <w:r w:rsidRPr="001E114B">
        <w:t>Unit Sector</w:t>
      </w:r>
    </w:p>
    <w:p w:rsidR="00000000" w:rsidRPr="001E114B" w:rsidP="001E114B">
      <w:pPr>
        <w:pStyle w:val="BodyText"/>
      </w:pPr>
      <w:r w:rsidRPr="001E114B">
        <w:t>Chemicals (CHM)</w:t>
      </w:r>
    </w:p>
    <w:p w:rsidR="00000000" w:rsidRPr="001E114B" w:rsidP="001E114B">
      <w:pPr>
        <w:pStyle w:val="AllowPageBreak"/>
      </w:pPr>
    </w:p>
    <w:p w:rsidR="00000000" w:rsidRPr="001E114B" w:rsidP="001E114B">
      <w:pPr>
        <w:pStyle w:val="Heading1"/>
      </w:pPr>
      <w:bookmarkStart w:id="5" w:name="O_878216"/>
      <w:bookmarkEnd w:id="5"/>
      <w:r w:rsidRPr="001E114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TableHeading"/>
              <w:rPr>
                <w:lang w:val="en-NZ"/>
              </w:rPr>
            </w:pPr>
            <w:r w:rsidRPr="001E114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TableHeading"/>
              <w:rPr>
                <w:lang w:val="en-NZ"/>
              </w:rPr>
            </w:pPr>
            <w:r w:rsidRPr="001E114B">
              <w:t>Performance criteria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BodyText"/>
              <w:rPr>
                <w:lang w:val="en-NZ"/>
              </w:rPr>
            </w:pPr>
            <w:r w:rsidRPr="001E114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BodyText"/>
              <w:rPr>
                <w:lang w:val="en-NZ"/>
              </w:rPr>
            </w:pPr>
            <w:r w:rsidRPr="001E114B">
              <w:t>Performance criteria describe the performance needed to demonstrate achievement of the element.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List"/>
              <w:rPr>
                <w:lang w:val="en-NZ"/>
              </w:rPr>
            </w:pPr>
            <w:r w:rsidRPr="001E114B">
              <w:t>1.</w:t>
            </w:r>
            <w:r w:rsidRPr="001E114B">
              <w:tab/>
            </w:r>
            <w:r w:rsidRPr="001E114B">
              <w:t>Plan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List"/>
            </w:pPr>
            <w:r w:rsidRPr="001E114B">
              <w:t>1.1</w:t>
            </w:r>
            <w:r w:rsidRPr="001E114B">
              <w:tab/>
              <w:t>Determine the need for fumigation as an option within an Integrated Pest Management (IPM) and Integrated Resource Management (IRM) strategy</w:t>
            </w:r>
          </w:p>
          <w:p w:rsidR="00000000" w:rsidRPr="001E114B" w:rsidP="001E114B">
            <w:pPr>
              <w:pStyle w:val="List"/>
            </w:pPr>
            <w:r w:rsidRPr="001E114B">
              <w:t>1.2</w:t>
            </w:r>
            <w:r w:rsidRPr="001E114B">
              <w:tab/>
              <w:t>Determine type of fumigant and application rate</w:t>
            </w:r>
          </w:p>
          <w:p w:rsidR="00000000" w:rsidRPr="001E114B" w:rsidP="001E114B">
            <w:pPr>
              <w:pStyle w:val="List"/>
            </w:pPr>
            <w:r w:rsidRPr="001E114B">
              <w:t>1.3</w:t>
            </w:r>
            <w:r w:rsidRPr="001E114B">
              <w:tab/>
              <w:t>Select method of fumigant application to</w:t>
            </w:r>
            <w:r w:rsidRPr="001E114B">
              <w:t xml:space="preserve"> suit type of pest, facility and grain or plant type </w:t>
            </w:r>
          </w:p>
          <w:p w:rsidR="00000000" w:rsidRPr="001E114B" w:rsidP="001E114B">
            <w:pPr>
              <w:pStyle w:val="List"/>
            </w:pPr>
            <w:r w:rsidRPr="001E114B">
              <w:t>1.4</w:t>
            </w:r>
            <w:r w:rsidRPr="001E114B">
              <w:tab/>
              <w:t>Assess appropriateness of facility and conditions for selected fumigation method</w:t>
            </w:r>
          </w:p>
          <w:p w:rsidR="00000000" w:rsidP="001E114B">
            <w:pPr>
              <w:pStyle w:val="List"/>
              <w:rPr>
                <w:lang w:val="en-NZ"/>
              </w:rPr>
            </w:pPr>
            <w:r w:rsidRPr="001E114B">
              <w:t>1.5</w:t>
            </w:r>
            <w:r w:rsidRPr="001E114B">
              <w:tab/>
              <w:t>Select and use appropriate personal protective equipment as per label instructions.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List"/>
              <w:rPr>
                <w:lang w:val="en-NZ"/>
              </w:rPr>
            </w:pPr>
            <w:r w:rsidRPr="001E114B">
              <w:t>2.</w:t>
            </w:r>
            <w:r w:rsidRPr="001E114B">
              <w:tab/>
            </w:r>
            <w:r w:rsidRPr="001E114B">
              <w:t>Prepare storage facility for fumigation, application equipment and fumigants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List"/>
            </w:pPr>
            <w:r w:rsidRPr="001E114B">
              <w:t>2.1</w:t>
            </w:r>
            <w:r w:rsidRPr="001E114B">
              <w:tab/>
              <w:t xml:space="preserve">Identify hazards, assess risks and implement control measures in relation to the use of fumigants in enclosed spaces </w:t>
            </w:r>
          </w:p>
          <w:p w:rsidR="00000000" w:rsidRPr="001E114B" w:rsidP="001E114B">
            <w:pPr>
              <w:pStyle w:val="List"/>
            </w:pPr>
            <w:r w:rsidRPr="001E114B">
              <w:t>2.2</w:t>
            </w:r>
            <w:r w:rsidRPr="001E114B">
              <w:tab/>
              <w:t xml:space="preserve">Establish security measures to control access during </w:t>
            </w:r>
            <w:r w:rsidRPr="001E114B">
              <w:t xml:space="preserve">fumigation and prescribed re-entry periods </w:t>
            </w:r>
          </w:p>
          <w:p w:rsidR="00000000" w:rsidRPr="001E114B" w:rsidP="001E114B">
            <w:pPr>
              <w:pStyle w:val="List"/>
            </w:pPr>
            <w:r w:rsidRPr="001E114B">
              <w:t>2.3</w:t>
            </w:r>
            <w:r w:rsidRPr="001E114B">
              <w:tab/>
              <w:t>Erect signage and barriers to control risk of inadvertent entry to facility</w:t>
            </w:r>
          </w:p>
          <w:p w:rsidR="00000000" w:rsidRPr="001E114B" w:rsidP="001E114B">
            <w:pPr>
              <w:pStyle w:val="List"/>
            </w:pPr>
            <w:r w:rsidRPr="001E114B">
              <w:t>2.4</w:t>
            </w:r>
            <w:r w:rsidRPr="001E114B">
              <w:tab/>
              <w:t>Check seal, calculate volume of storage facility, and take appropriate measurement to ensure the required concentration of fumig</w:t>
            </w:r>
            <w:r w:rsidRPr="001E114B">
              <w:t>ant is retained</w:t>
            </w:r>
          </w:p>
          <w:p w:rsidR="00000000" w:rsidRPr="001E114B" w:rsidP="001E114B">
            <w:pPr>
              <w:pStyle w:val="List"/>
            </w:pPr>
            <w:r w:rsidRPr="001E114B">
              <w:t>2.5</w:t>
            </w:r>
            <w:r w:rsidRPr="001E114B">
              <w:tab/>
              <w:t xml:space="preserve">Check operational effectiveness of equipment </w:t>
            </w:r>
          </w:p>
          <w:p w:rsidR="00000000" w:rsidRPr="001E114B" w:rsidP="001E114B">
            <w:pPr>
              <w:pStyle w:val="List"/>
            </w:pPr>
            <w:r w:rsidRPr="001E114B">
              <w:t>2.6</w:t>
            </w:r>
            <w:r w:rsidRPr="001E114B">
              <w:tab/>
              <w:t xml:space="preserve">Calibrate fumigation equipment to deliver the correct application rate </w:t>
            </w:r>
          </w:p>
          <w:p w:rsidR="00000000" w:rsidRPr="001E114B" w:rsidP="001E114B">
            <w:pPr>
              <w:pStyle w:val="List"/>
            </w:pPr>
            <w:r w:rsidRPr="001E114B">
              <w:t>2.7</w:t>
            </w:r>
            <w:r w:rsidRPr="001E114B">
              <w:tab/>
              <w:t>Transport and store fumigants</w:t>
            </w:r>
          </w:p>
          <w:p w:rsidR="00000000" w:rsidP="001E114B">
            <w:pPr>
              <w:pStyle w:val="List"/>
              <w:rPr>
                <w:lang w:val="en-NZ"/>
              </w:rPr>
            </w:pPr>
            <w:r w:rsidRPr="001E114B">
              <w:t>2.8</w:t>
            </w:r>
            <w:r w:rsidRPr="001E114B">
              <w:tab/>
              <w:t>Prepare fumigant in accordance with label instructions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List"/>
              <w:rPr>
                <w:lang w:val="en-NZ"/>
              </w:rPr>
            </w:pPr>
            <w:r w:rsidRPr="001E114B">
              <w:t>3.</w:t>
            </w:r>
            <w:r w:rsidRPr="001E114B">
              <w:tab/>
              <w:t>Conduct and monit</w:t>
            </w:r>
            <w:r w:rsidRPr="001E114B">
              <w:t>or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List"/>
            </w:pPr>
            <w:r w:rsidRPr="001E114B">
              <w:t>3.1</w:t>
            </w:r>
            <w:r w:rsidRPr="001E114B">
              <w:tab/>
              <w:t xml:space="preserve">Apply fumigation using appropriate equipment, fumigation methods and sealing methods </w:t>
            </w:r>
          </w:p>
          <w:p w:rsidR="00000000" w:rsidRPr="001E114B" w:rsidP="001E114B">
            <w:pPr>
              <w:pStyle w:val="List"/>
            </w:pPr>
            <w:r w:rsidRPr="001E114B">
              <w:t>3.2</w:t>
            </w:r>
            <w:r w:rsidRPr="001E114B">
              <w:tab/>
              <w:t xml:space="preserve">Respond to emergency situations using emergency response procedures </w:t>
            </w:r>
          </w:p>
          <w:p w:rsidR="00000000" w:rsidRPr="001E114B" w:rsidP="001E114B">
            <w:pPr>
              <w:pStyle w:val="List"/>
            </w:pPr>
            <w:r w:rsidRPr="001E114B">
              <w:t>3.3</w:t>
            </w:r>
            <w:r w:rsidRPr="001E114B">
              <w:tab/>
              <w:t>Monitor fumigation site during exposure time and ventilation to prevent una</w:t>
            </w:r>
            <w:r w:rsidRPr="001E114B">
              <w:t>uthorised access</w:t>
            </w:r>
          </w:p>
          <w:p w:rsidR="00000000" w:rsidP="001E114B">
            <w:pPr>
              <w:pStyle w:val="List"/>
              <w:rPr>
                <w:lang w:val="en-NZ"/>
              </w:rPr>
            </w:pPr>
            <w:r w:rsidRPr="001E114B">
              <w:t>3.4</w:t>
            </w:r>
            <w:r w:rsidRPr="001E114B">
              <w:tab/>
              <w:t>Maintain integrity of seals throughout the active fumigation period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List"/>
              <w:rPr>
                <w:lang w:val="en-NZ"/>
              </w:rPr>
            </w:pPr>
            <w:r w:rsidRPr="001E114B">
              <w:t>4.</w:t>
            </w:r>
            <w:r w:rsidRPr="001E114B">
              <w:tab/>
              <w:t>Ventilate storage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List"/>
            </w:pPr>
            <w:r w:rsidRPr="001E114B">
              <w:t>4.1</w:t>
            </w:r>
            <w:r w:rsidRPr="001E114B">
              <w:tab/>
              <w:t>Establish ventilation and re-entry times and control risks</w:t>
            </w:r>
          </w:p>
          <w:p w:rsidR="00000000" w:rsidRPr="001E114B" w:rsidP="001E114B">
            <w:pPr>
              <w:pStyle w:val="List"/>
            </w:pPr>
            <w:r w:rsidRPr="001E114B">
              <w:t>4.2</w:t>
            </w:r>
            <w:r w:rsidRPr="001E114B">
              <w:tab/>
              <w:t>Ventilate facility to remove fumigant in a safe and controlled manner</w:t>
            </w:r>
            <w:r w:rsidRPr="001E114B">
              <w:t xml:space="preserve"> </w:t>
            </w:r>
          </w:p>
          <w:p w:rsidR="00000000" w:rsidRPr="001E114B" w:rsidP="001E114B">
            <w:pPr>
              <w:pStyle w:val="List"/>
            </w:pPr>
            <w:r w:rsidRPr="001E114B">
              <w:t>4.3</w:t>
            </w:r>
            <w:r w:rsidRPr="001E114B">
              <w:tab/>
              <w:t>Test for evidence of residual gas using appropriate equipment</w:t>
            </w:r>
          </w:p>
          <w:p w:rsidR="00000000" w:rsidP="001E114B">
            <w:pPr>
              <w:pStyle w:val="List"/>
              <w:rPr>
                <w:lang w:val="en-NZ"/>
              </w:rPr>
            </w:pPr>
            <w:r w:rsidRPr="001E114B">
              <w:t>4.4</w:t>
            </w:r>
            <w:r w:rsidRPr="001E114B">
              <w:tab/>
              <w:t xml:space="preserve">Notify appropriate personnel of any further risk control measures required 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List"/>
              <w:rPr>
                <w:lang w:val="en-NZ"/>
              </w:rPr>
            </w:pPr>
            <w:r w:rsidRPr="001E114B">
              <w:t>5.</w:t>
            </w:r>
            <w:r w:rsidRPr="001E114B">
              <w:tab/>
              <w:t>Restore storage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List"/>
            </w:pPr>
            <w:r w:rsidRPr="001E114B">
              <w:t>5.1</w:t>
            </w:r>
            <w:r w:rsidRPr="001E114B">
              <w:tab/>
              <w:t xml:space="preserve">Collect and remove all equipment, fumigants and waste </w:t>
            </w:r>
          </w:p>
          <w:p w:rsidR="00000000" w:rsidRPr="001E114B" w:rsidP="001E114B">
            <w:pPr>
              <w:pStyle w:val="List"/>
            </w:pPr>
            <w:r w:rsidRPr="001E114B">
              <w:t>5.2</w:t>
            </w:r>
            <w:r w:rsidRPr="001E114B">
              <w:tab/>
            </w:r>
            <w:r w:rsidRPr="001E114B">
              <w:t>Remove signage and barriers when facility is available for re-use</w:t>
            </w:r>
          </w:p>
          <w:p w:rsidR="00000000" w:rsidP="001E114B">
            <w:pPr>
              <w:pStyle w:val="List"/>
              <w:rPr>
                <w:lang w:val="en-NZ"/>
              </w:rPr>
            </w:pPr>
            <w:r w:rsidRPr="001E114B">
              <w:t>5.3</w:t>
            </w:r>
            <w:r w:rsidRPr="001E114B">
              <w:tab/>
              <w:t xml:space="preserve">Restore storage facility 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List"/>
              <w:rPr>
                <w:lang w:val="en-NZ"/>
              </w:rPr>
            </w:pPr>
            <w:r w:rsidRPr="001E114B">
              <w:t>6.</w:t>
            </w:r>
            <w:r w:rsidRPr="001E114B">
              <w:tab/>
              <w:t>Clean, safety-check and store equipment and fumigants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List"/>
            </w:pPr>
            <w:r w:rsidRPr="001E114B">
              <w:t>6.1</w:t>
            </w:r>
            <w:r w:rsidRPr="001E114B">
              <w:tab/>
              <w:t>Clean, check, decontaminate and store equipment and personal protective equipment in appropriate l</w:t>
            </w:r>
            <w:r w:rsidRPr="001E114B">
              <w:t>ocation</w:t>
            </w:r>
          </w:p>
          <w:p w:rsidR="00000000" w:rsidP="001E114B">
            <w:pPr>
              <w:pStyle w:val="List"/>
              <w:rPr>
                <w:lang w:val="en-NZ"/>
              </w:rPr>
            </w:pPr>
            <w:r w:rsidRPr="001E114B">
              <w:t>6.2</w:t>
            </w:r>
            <w:r w:rsidRPr="001E114B">
              <w:tab/>
              <w:t>Dispose of all waste as per label instructions</w:t>
            </w:r>
          </w:p>
        </w:tc>
      </w:tr>
      <w:tr w:rsidTr="00053C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4B">
            <w:pPr>
              <w:pStyle w:val="List"/>
              <w:rPr>
                <w:lang w:val="en-NZ"/>
              </w:rPr>
            </w:pPr>
            <w:r w:rsidRPr="001E114B">
              <w:t>7.</w:t>
            </w:r>
            <w:r w:rsidRPr="001E114B">
              <w:tab/>
              <w:t>Record fumigation details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4B" w:rsidP="001E114B">
            <w:pPr>
              <w:pStyle w:val="List"/>
            </w:pPr>
            <w:r w:rsidRPr="001E114B">
              <w:t>7.1</w:t>
            </w:r>
            <w:r w:rsidRPr="001E114B">
              <w:tab/>
              <w:t xml:space="preserve">Record details of fumigant applications </w:t>
            </w:r>
          </w:p>
          <w:p w:rsidR="00000000" w:rsidRPr="001E114B" w:rsidP="001E114B">
            <w:pPr>
              <w:pStyle w:val="List"/>
            </w:pPr>
            <w:r w:rsidRPr="001E114B">
              <w:t>7.2</w:t>
            </w:r>
            <w:r w:rsidRPr="001E114B">
              <w:tab/>
              <w:t xml:space="preserve">Record and report gas escapes, safety incidents or poisoning to the appropriate person or authority </w:t>
            </w:r>
          </w:p>
        </w:tc>
      </w:tr>
    </w:tbl>
    <w:p w:rsidR="00000000" w:rsidRPr="001E114B" w:rsidP="001E114B">
      <w:pPr>
        <w:pStyle w:val="BodyText"/>
      </w:pPr>
    </w:p>
    <w:p w:rsidR="00000000" w:rsidRPr="001E114B" w:rsidP="001E114B">
      <w:pPr>
        <w:pStyle w:val="AllowPageBreak"/>
      </w:pPr>
    </w:p>
    <w:p w:rsidR="00000000" w:rsidRPr="001E114B" w:rsidP="001E114B">
      <w:pPr>
        <w:pStyle w:val="Heading1"/>
      </w:pPr>
      <w:bookmarkStart w:id="6" w:name="O_878217"/>
      <w:bookmarkEnd w:id="6"/>
      <w:r w:rsidRPr="001E114B">
        <w:t>Foundation Skills</w:t>
      </w:r>
    </w:p>
    <w:p w:rsidR="00000000" w:rsidRPr="001E114B" w:rsidP="001E114B">
      <w:pPr>
        <w:pStyle w:val="BodyText"/>
      </w:pPr>
      <w:r w:rsidRPr="001E114B">
        <w:t>Foundation Skills essential to performance are explicit in the performance criteria of this unit of competency.</w:t>
      </w:r>
    </w:p>
    <w:p w:rsidR="00000000" w:rsidRPr="001E114B" w:rsidP="001E114B">
      <w:pPr>
        <w:pStyle w:val="AllowPageBreak"/>
      </w:pPr>
    </w:p>
    <w:p w:rsidR="00000000" w:rsidRPr="001E114B" w:rsidP="001E114B">
      <w:pPr>
        <w:pStyle w:val="Heading1"/>
      </w:pPr>
      <w:bookmarkStart w:id="7" w:name="O_878218"/>
      <w:bookmarkEnd w:id="7"/>
      <w:r w:rsidRPr="001E114B">
        <w:t>Range of Conditions</w:t>
      </w:r>
    </w:p>
    <w:p w:rsidR="00000000" w:rsidRPr="001E114B" w:rsidP="001E114B">
      <w:pPr>
        <w:pStyle w:val="Heading1"/>
      </w:pPr>
      <w:bookmarkStart w:id="8" w:name="O_878219"/>
      <w:bookmarkEnd w:id="8"/>
      <w:r w:rsidRPr="001E114B">
        <w:t>Unit Mapping Information</w:t>
      </w:r>
    </w:p>
    <w:p w:rsidR="00000000" w:rsidRPr="001E114B" w:rsidP="001E114B">
      <w:pPr>
        <w:pStyle w:val="BodyText"/>
      </w:pPr>
      <w:r w:rsidRPr="001E114B">
        <w:t>This unit is not equivalent to AHCCHM301A Cond</w:t>
      </w:r>
      <w:r w:rsidRPr="001E114B">
        <w:t>uct fumigation in enclosed spaces.</w:t>
      </w:r>
    </w:p>
    <w:p w:rsidR="00000000" w:rsidRPr="001E114B" w:rsidP="001E114B">
      <w:pPr>
        <w:pStyle w:val="AllowPageBreak"/>
      </w:pPr>
    </w:p>
    <w:p w:rsidR="00000000" w:rsidRPr="001E114B" w:rsidP="001E114B">
      <w:pPr>
        <w:pStyle w:val="Heading1"/>
      </w:pPr>
      <w:bookmarkStart w:id="9" w:name="O_878226"/>
      <w:bookmarkEnd w:id="9"/>
      <w:r w:rsidRPr="001E114B">
        <w:t>Links</w:t>
      </w:r>
    </w:p>
    <w:p w:rsidR="00000000" w:rsidRPr="001E114B" w:rsidP="001E114B">
      <w:pPr>
        <w:pStyle w:val="BodyText"/>
      </w:pPr>
      <w:r w:rsidRPr="001E114B">
        <w:t>Companion Volume implementation guides are found in VETNet - https://vetnet.education.gov.au/Pages/TrainingDocs.aspx?q=c6399549-9c62-4a5e-bf1a-524b2322cf72</w:t>
      </w:r>
    </w:p>
    <w:p w:rsidR="00000000" w:rsidRPr="001E114B" w:rsidP="001E114B"/>
    <w:sectPr w:rsidSect="001E11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4B" w:rsidRPr="00053CD9" w:rsidP="00053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CD9" w:rsidP="001E1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CD9" w:rsidP="001E1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3CD9" w:rsidP="001E1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C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14B" w:rsidRPr="00053CD9" w:rsidP="00053C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CD9" w:rsidRPr="002D2AF8" w:rsidP="001E1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AHCCHM301 Use application equipment to apply fumigant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053CD9" w:rsidP="001E1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14B"/>
  </w:style>
  <w:style w:type="character" w:customStyle="1" w:styleId="Heading1Char">
    <w:name w:val="Heading 1 Char"/>
    <w:basedOn w:val="DefaultParagraphFont"/>
    <w:link w:val="Heading1"/>
    <w:rsid w:val="001E1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1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114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E1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11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1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14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E11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1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14B"/>
    <w:rPr>
      <w:b/>
      <w:spacing w:val="0"/>
    </w:rPr>
  </w:style>
  <w:style w:type="paragraph" w:customStyle="1" w:styleId="SuperTitle">
    <w:name w:val="SuperTitle"/>
    <w:basedOn w:val="Title"/>
    <w:rsid w:val="001E1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1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14B"/>
    <w:rPr>
      <w:i/>
    </w:rPr>
  </w:style>
  <w:style w:type="paragraph" w:styleId="Caption">
    <w:name w:val="caption"/>
    <w:basedOn w:val="BodyText"/>
    <w:next w:val="Normal"/>
    <w:qFormat/>
    <w:rsid w:val="001E1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14B"/>
  </w:style>
  <w:style w:type="paragraph" w:styleId="TableofFigures">
    <w:name w:val="table of figures"/>
    <w:basedOn w:val="Normal"/>
    <w:next w:val="Normal"/>
    <w:semiHidden/>
    <w:rsid w:val="001E1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14B"/>
    <w:pPr>
      <w:numPr>
        <w:numId w:val="9"/>
      </w:numPr>
    </w:pPr>
  </w:style>
  <w:style w:type="character" w:customStyle="1" w:styleId="WingdingSymbols">
    <w:name w:val="Wingding Symbols"/>
    <w:rsid w:val="001E114B"/>
    <w:rPr>
      <w:rFonts w:ascii="Wingdings" w:hAnsi="Wingdings"/>
    </w:rPr>
  </w:style>
  <w:style w:type="character" w:customStyle="1" w:styleId="HotSpot">
    <w:name w:val="HotSpot"/>
    <w:rsid w:val="001E114B"/>
    <w:rPr>
      <w:color w:val="0033CC"/>
      <w:u w:val="none"/>
    </w:rPr>
  </w:style>
  <w:style w:type="paragraph" w:customStyle="1" w:styleId="BodyTextRight">
    <w:name w:val="Body Text Right"/>
    <w:basedOn w:val="BodyText"/>
    <w:rsid w:val="001E1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1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14B"/>
    <w:rPr>
      <w:sz w:val="32"/>
    </w:rPr>
  </w:style>
  <w:style w:type="paragraph" w:customStyle="1" w:styleId="HeadingProcedure">
    <w:name w:val="Heading Procedure"/>
    <w:basedOn w:val="HeadingBase"/>
    <w:next w:val="Normal"/>
    <w:rsid w:val="001E1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14B"/>
    <w:pPr>
      <w:spacing w:before="60" w:after="60"/>
    </w:pPr>
  </w:style>
  <w:style w:type="paragraph" w:styleId="ListContinue">
    <w:name w:val="List Continue"/>
    <w:basedOn w:val="List"/>
    <w:rsid w:val="001E114B"/>
    <w:pPr>
      <w:ind w:firstLine="0"/>
    </w:pPr>
  </w:style>
  <w:style w:type="paragraph" w:customStyle="1" w:styleId="ListNote">
    <w:name w:val="List Note"/>
    <w:basedOn w:val="List"/>
    <w:rsid w:val="001E1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14B"/>
    <w:rPr>
      <w:rFonts w:ascii="Courier New" w:hAnsi="Courier New"/>
    </w:rPr>
  </w:style>
  <w:style w:type="paragraph" w:customStyle="1" w:styleId="NoteBullet">
    <w:name w:val="Note Bullet"/>
    <w:basedOn w:val="Note"/>
    <w:rsid w:val="001E1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1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14B"/>
    <w:rPr>
      <w:b/>
      <w:smallCaps/>
    </w:rPr>
  </w:style>
  <w:style w:type="paragraph" w:customStyle="1" w:styleId="TableListNumber">
    <w:name w:val="Table List Number"/>
    <w:basedOn w:val="ListNumber"/>
    <w:rsid w:val="001E1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14B"/>
    <w:pPr>
      <w:numPr>
        <w:numId w:val="7"/>
      </w:numPr>
    </w:pPr>
  </w:style>
  <w:style w:type="paragraph" w:customStyle="1" w:styleId="ListAlpha2">
    <w:name w:val="List Alpha 2"/>
    <w:basedOn w:val="List2"/>
    <w:rsid w:val="001E114B"/>
    <w:pPr>
      <w:numPr>
        <w:numId w:val="6"/>
      </w:numPr>
    </w:pPr>
  </w:style>
  <w:style w:type="paragraph" w:styleId="List2">
    <w:name w:val="List 2"/>
    <w:basedOn w:val="BodyText"/>
    <w:rsid w:val="001E1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1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1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114B"/>
    <w:pPr>
      <w:numPr>
        <w:numId w:val="2"/>
      </w:numPr>
    </w:pPr>
  </w:style>
  <w:style w:type="paragraph" w:styleId="ListContinue2">
    <w:name w:val="List Continue 2"/>
    <w:basedOn w:val="List2"/>
    <w:rsid w:val="001E114B"/>
    <w:pPr>
      <w:ind w:firstLine="0"/>
    </w:pPr>
  </w:style>
  <w:style w:type="paragraph" w:styleId="ListContinue3">
    <w:name w:val="List Continue 3"/>
    <w:basedOn w:val="List3"/>
    <w:rsid w:val="001E114B"/>
    <w:pPr>
      <w:ind w:left="1021" w:firstLine="0"/>
    </w:pPr>
  </w:style>
  <w:style w:type="paragraph" w:styleId="ListContinue4">
    <w:name w:val="List Continue 4"/>
    <w:basedOn w:val="List4"/>
    <w:rsid w:val="001E114B"/>
    <w:pPr>
      <w:ind w:firstLine="0"/>
    </w:pPr>
  </w:style>
  <w:style w:type="paragraph" w:styleId="ListContinue5">
    <w:name w:val="List Continue 5"/>
    <w:basedOn w:val="List5"/>
    <w:rsid w:val="001E114B"/>
    <w:pPr>
      <w:ind w:firstLine="0"/>
    </w:pPr>
  </w:style>
  <w:style w:type="paragraph" w:styleId="ListNumber3">
    <w:name w:val="List Number 3"/>
    <w:basedOn w:val="List3"/>
    <w:rsid w:val="001E114B"/>
    <w:pPr>
      <w:numPr>
        <w:numId w:val="3"/>
      </w:numPr>
    </w:pPr>
  </w:style>
  <w:style w:type="paragraph" w:styleId="ListNumber4">
    <w:name w:val="List Number 4"/>
    <w:basedOn w:val="List4"/>
    <w:rsid w:val="001E114B"/>
    <w:pPr>
      <w:numPr>
        <w:numId w:val="4"/>
      </w:numPr>
    </w:pPr>
  </w:style>
  <w:style w:type="paragraph" w:styleId="ListNumber5">
    <w:name w:val="List Number 5"/>
    <w:basedOn w:val="List5"/>
    <w:rsid w:val="001E114B"/>
    <w:pPr>
      <w:numPr>
        <w:numId w:val="5"/>
      </w:numPr>
    </w:pPr>
  </w:style>
  <w:style w:type="paragraph" w:styleId="BlockText">
    <w:name w:val="Block Text"/>
    <w:basedOn w:val="Normal"/>
    <w:rsid w:val="001E1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14B"/>
    <w:rPr>
      <w:sz w:val="16"/>
      <w:vertAlign w:val="superscript"/>
    </w:rPr>
  </w:style>
  <w:style w:type="character" w:customStyle="1" w:styleId="Symbols">
    <w:name w:val="Symbols"/>
    <w:basedOn w:val="DefaultParagraphFont"/>
    <w:rsid w:val="001E114B"/>
    <w:rPr>
      <w:rFonts w:ascii="Symbol" w:hAnsi="Symbol"/>
    </w:rPr>
  </w:style>
  <w:style w:type="character" w:customStyle="1" w:styleId="MenuOptions">
    <w:name w:val="Menu Options"/>
    <w:basedOn w:val="DefaultParagraphFont"/>
    <w:rsid w:val="001E1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14B"/>
    <w:rPr>
      <w:b/>
    </w:rPr>
  </w:style>
  <w:style w:type="character" w:customStyle="1" w:styleId="Underlined">
    <w:name w:val="Underlined"/>
    <w:basedOn w:val="DefaultParagraphFont"/>
    <w:rsid w:val="001E114B"/>
    <w:rPr>
      <w:u w:val="single"/>
    </w:rPr>
  </w:style>
  <w:style w:type="paragraph" w:customStyle="1" w:styleId="TableBodyTextRight">
    <w:name w:val="Table Body Text Right"/>
    <w:basedOn w:val="TableBodyText"/>
    <w:rsid w:val="001E1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14B"/>
    <w:rPr>
      <w:sz w:val="18"/>
    </w:rPr>
  </w:style>
  <w:style w:type="paragraph" w:customStyle="1" w:styleId="BodySmallRight">
    <w:name w:val="Body Small Right"/>
    <w:basedOn w:val="BodyTextRight"/>
    <w:rsid w:val="001E114B"/>
    <w:rPr>
      <w:sz w:val="18"/>
      <w:szCs w:val="18"/>
    </w:rPr>
  </w:style>
  <w:style w:type="paragraph" w:customStyle="1" w:styleId="MarginEdition">
    <w:name w:val="Margin Edition"/>
    <w:basedOn w:val="MarginNote"/>
    <w:rsid w:val="001E1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14B"/>
    <w:rPr>
      <w:sz w:val="2"/>
      <w:szCs w:val="2"/>
    </w:rPr>
  </w:style>
  <w:style w:type="character" w:customStyle="1" w:styleId="Small">
    <w:name w:val="Small"/>
    <w:basedOn w:val="DefaultParagraphFont"/>
    <w:rsid w:val="001E114B"/>
    <w:rPr>
      <w:sz w:val="16"/>
    </w:rPr>
  </w:style>
  <w:style w:type="paragraph" w:customStyle="1" w:styleId="WideTable">
    <w:name w:val="Wide Table"/>
    <w:basedOn w:val="Normal"/>
    <w:rsid w:val="001E1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14B"/>
  </w:style>
  <w:style w:type="paragraph" w:styleId="Quote">
    <w:name w:val="Quote"/>
    <w:basedOn w:val="Heading1"/>
    <w:link w:val="QuoteChar"/>
    <w:qFormat/>
    <w:rsid w:val="001E1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14B"/>
    <w:pPr>
      <w:pageBreakBefore/>
    </w:pPr>
  </w:style>
  <w:style w:type="paragraph" w:customStyle="1" w:styleId="Border">
    <w:name w:val="Border"/>
    <w:basedOn w:val="Normal"/>
    <w:qFormat/>
    <w:rsid w:val="001E1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14B"/>
    <w:rPr>
      <w:u w:val="single"/>
    </w:rPr>
  </w:style>
  <w:style w:type="character" w:customStyle="1" w:styleId="BoldandItalics">
    <w:name w:val="Bold and Italics"/>
    <w:qFormat/>
    <w:rsid w:val="001E114B"/>
    <w:rPr>
      <w:b/>
      <w:i/>
      <w:u w:val="none"/>
    </w:rPr>
  </w:style>
  <w:style w:type="paragraph" w:styleId="BalloonText">
    <w:name w:val="Balloon Text"/>
    <w:basedOn w:val="Normal"/>
    <w:link w:val="BalloonTextChar"/>
    <w:rsid w:val="001E1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14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3754</Characters>
  <Application>Microsoft Office Word</Application>
  <DocSecurity>0</DocSecurity>
  <Lines>125</Lines>
  <Paragraphs>69</Paragraphs>
  <ScaleCrop>false</ScaleCrop>
  <Company>Author-it Software Corporation Ltd.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AHCCHM301 Use application equipment to apply fumigant in confined spaces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2017-12-20T23:43:00Z</dcterms:created>
  <dcterms:modified xsi:type="dcterms:W3CDTF">2017-12-20T23:43:00Z</dcterms:modified>
</cp:coreProperties>
</file>