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B1B" w:rsidP="000D7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AHCBUS514 Negotiate and monitor contracts</w:t>
      </w:r>
      <w:r>
        <w:fldChar w:fldCharType="end"/>
      </w:r>
    </w:p>
    <w:p w:rsidR="000D7B1B" w:rsidP="000D7B1B">
      <w:pPr>
        <w:pStyle w:val="Version"/>
        <w:sectPr w:rsidSect="00C26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99B" w:rsidP="00C2699B">
      <w:pPr>
        <w:pStyle w:val="SuperHeading"/>
      </w:pPr>
      <w:r w:rsidRPr="00C2699B">
        <w:t>Assessment Requirements for AHCBUS514 Negotiate and monitor contracts</w:t>
      </w:r>
    </w:p>
    <w:p w:rsidR="00000000" w:rsidRPr="00C2699B" w:rsidP="00C2699B">
      <w:pPr>
        <w:pStyle w:val="Heading1"/>
      </w:pPr>
      <w:bookmarkStart w:id="1" w:name="O_1055221"/>
      <w:bookmarkEnd w:id="1"/>
      <w:r w:rsidRPr="00C269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6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9B">
            <w:pPr>
              <w:pStyle w:val="BodyTextBold"/>
              <w:rPr>
                <w:lang w:val="en-NZ"/>
              </w:rPr>
            </w:pPr>
            <w:r w:rsidRPr="00C269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9B">
            <w:pPr>
              <w:pStyle w:val="BodyTextBold"/>
              <w:rPr>
                <w:lang w:val="en-NZ"/>
              </w:rPr>
            </w:pPr>
            <w:r w:rsidRPr="00C2699B">
              <w:t>Comments</w:t>
            </w:r>
          </w:p>
        </w:tc>
      </w:tr>
      <w:tr w:rsidTr="00C26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99B">
            <w:pPr>
              <w:pStyle w:val="BodyText"/>
              <w:rPr>
                <w:lang w:val="en-NZ"/>
              </w:rPr>
            </w:pPr>
            <w:r w:rsidRPr="00C269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99B" w:rsidP="00C2699B">
            <w:pPr>
              <w:pStyle w:val="BodyText"/>
            </w:pPr>
            <w:r w:rsidRPr="00C2699B">
              <w:t>This version released with AHC Agriculture, Horticulture, Conservation and Land Management Training Package Version 4.0.</w:t>
            </w:r>
          </w:p>
        </w:tc>
      </w:tr>
    </w:tbl>
    <w:p w:rsidR="00000000" w:rsidRPr="00C2699B" w:rsidP="00C2699B">
      <w:pPr>
        <w:pStyle w:val="BodyText"/>
      </w:pPr>
    </w:p>
    <w:p w:rsidR="00000000" w:rsidRPr="00C2699B" w:rsidP="00C2699B">
      <w:pPr>
        <w:pStyle w:val="AllowPageBreak"/>
      </w:pPr>
    </w:p>
    <w:p w:rsidR="00000000" w:rsidRPr="00C2699B" w:rsidP="00C2699B">
      <w:pPr>
        <w:pStyle w:val="Heading1"/>
      </w:pPr>
      <w:bookmarkStart w:id="2" w:name="O_1055222"/>
      <w:bookmarkEnd w:id="2"/>
      <w:r w:rsidRPr="00C2699B">
        <w:t>Performance Evidence</w:t>
      </w:r>
    </w:p>
    <w:p w:rsidR="00000000" w:rsidRPr="00C2699B" w:rsidP="000D7B1B">
      <w:pPr>
        <w:pStyle w:val="BodyText"/>
      </w:pPr>
      <w:r w:rsidRPr="00C2699B">
        <w:t>An individual demonstrating competency must satisfy all of the elements and performance crite</w:t>
      </w:r>
      <w:r w:rsidRPr="00C2699B">
        <w:t>ria in this unit. There must be evidence that the individual has negotiated and monitored at least one contract with a person or entity external to the enterprise, including:</w:t>
      </w:r>
    </w:p>
    <w:p w:rsidR="00000000" w:rsidRPr="00C2699B" w:rsidP="00C2699B">
      <w:pPr>
        <w:pStyle w:val="ListBullet"/>
      </w:pPr>
      <w:r w:rsidRPr="00C2699B">
        <w:t>established agreed terms and conditions with the person or entity</w:t>
      </w:r>
    </w:p>
    <w:p w:rsidR="00000000" w:rsidRPr="00C2699B" w:rsidP="00C2699B">
      <w:pPr>
        <w:pStyle w:val="ListBullet"/>
      </w:pPr>
      <w:r w:rsidRPr="00C2699B">
        <w:t>negotiated to obtain fair outcomes</w:t>
      </w:r>
    </w:p>
    <w:p w:rsidR="00000000" w:rsidRPr="00C2699B" w:rsidP="00C2699B">
      <w:pPr>
        <w:pStyle w:val="ListBullet"/>
      </w:pPr>
      <w:r w:rsidRPr="00C2699B">
        <w:t>documented the contract</w:t>
      </w:r>
    </w:p>
    <w:p w:rsidR="00000000" w:rsidRPr="00C2699B" w:rsidP="00C2699B">
      <w:pPr>
        <w:pStyle w:val="ListBullet"/>
      </w:pPr>
      <w:r w:rsidRPr="00C2699B">
        <w:t>monitored the performance of the contract.</w:t>
      </w:r>
    </w:p>
    <w:p w:rsidR="00000000" w:rsidRPr="00C2699B" w:rsidP="00C2699B">
      <w:pPr>
        <w:pStyle w:val="AllowPageBreak"/>
      </w:pPr>
    </w:p>
    <w:p w:rsidR="00000000" w:rsidRPr="00C2699B" w:rsidP="00C2699B">
      <w:pPr>
        <w:pStyle w:val="Heading1"/>
      </w:pPr>
      <w:bookmarkStart w:id="3" w:name="O_1055223"/>
      <w:bookmarkEnd w:id="3"/>
      <w:r w:rsidRPr="00C2699B">
        <w:t>Knowledge Evidence</w:t>
      </w:r>
    </w:p>
    <w:p w:rsidR="00000000" w:rsidRPr="00C2699B" w:rsidP="000D7B1B">
      <w:pPr>
        <w:pStyle w:val="BodyText"/>
      </w:pPr>
      <w:r w:rsidRPr="00C2699B">
        <w:t>An individual must be able to demonstrate the knowledge required to perform the tasks outlined in the elements and p</w:t>
      </w:r>
      <w:r w:rsidRPr="00C2699B">
        <w:t>erformance criteria of this unit. This includes knowledge of:</w:t>
      </w:r>
    </w:p>
    <w:p w:rsidR="00000000" w:rsidRPr="00C2699B" w:rsidP="00C2699B">
      <w:pPr>
        <w:pStyle w:val="ListBullet"/>
      </w:pPr>
      <w:r w:rsidRPr="00C2699B">
        <w:t>contract and commercial law applicable to the type of agreement</w:t>
      </w:r>
    </w:p>
    <w:p w:rsidR="00000000" w:rsidRPr="00C2699B" w:rsidP="00C2699B">
      <w:pPr>
        <w:pStyle w:val="ListBullet"/>
      </w:pPr>
      <w:r w:rsidRPr="00C2699B">
        <w:t>types of contracts used within the enterprise, including employment contracts and services contracts</w:t>
      </w:r>
    </w:p>
    <w:p w:rsidR="00000000" w:rsidRPr="00C2699B" w:rsidP="00C2699B">
      <w:pPr>
        <w:pStyle w:val="ListBullet"/>
      </w:pPr>
      <w:r w:rsidRPr="00C2699B">
        <w:t>typical considerations taken</w:t>
      </w:r>
      <w:r w:rsidRPr="00C2699B">
        <w:t xml:space="preserve"> into account when developing a contract, including:</w:t>
      </w:r>
    </w:p>
    <w:p w:rsidR="00000000" w:rsidRPr="00C2699B" w:rsidP="00C2699B">
      <w:pPr>
        <w:pStyle w:val="ListBullet2"/>
      </w:pPr>
      <w:r w:rsidRPr="00C2699B">
        <w:t>current state/territory and Commonwealth legislation for employment and taxation</w:t>
      </w:r>
    </w:p>
    <w:p w:rsidR="00000000" w:rsidRPr="00C2699B" w:rsidP="00C2699B">
      <w:pPr>
        <w:pStyle w:val="ListBullet2"/>
      </w:pPr>
      <w:r w:rsidRPr="00C2699B">
        <w:t>work health and safety in terms of duties of employers, employees, suppliers and contractors</w:t>
      </w:r>
    </w:p>
    <w:p w:rsidR="00000000" w:rsidRPr="00C2699B" w:rsidP="00C2699B">
      <w:pPr>
        <w:pStyle w:val="ListBullet2"/>
      </w:pPr>
      <w:r w:rsidRPr="00C2699B">
        <w:t>hazardous substances and dan</w:t>
      </w:r>
      <w:r w:rsidRPr="00C2699B">
        <w:t>gerous goods</w:t>
      </w:r>
    </w:p>
    <w:p w:rsidR="00000000" w:rsidRPr="00C2699B" w:rsidP="00C2699B">
      <w:pPr>
        <w:pStyle w:val="ListBullet2"/>
      </w:pPr>
      <w:r w:rsidRPr="00C2699B">
        <w:t>environment protection</w:t>
      </w:r>
    </w:p>
    <w:p w:rsidR="00000000" w:rsidRPr="00C2699B" w:rsidP="00C2699B">
      <w:pPr>
        <w:pStyle w:val="ListBullet2"/>
      </w:pPr>
      <w:r w:rsidRPr="00C2699B">
        <w:t>equal opportunity</w:t>
      </w:r>
    </w:p>
    <w:p w:rsidR="00000000" w:rsidRPr="00C2699B" w:rsidP="00C2699B">
      <w:pPr>
        <w:pStyle w:val="ListBullet2"/>
      </w:pPr>
      <w:r w:rsidRPr="00C2699B">
        <w:t>equal employment opportunity</w:t>
      </w:r>
    </w:p>
    <w:p w:rsidR="00000000" w:rsidRPr="00C2699B" w:rsidP="00C2699B">
      <w:pPr>
        <w:pStyle w:val="ListBullet2"/>
      </w:pPr>
      <w:r w:rsidRPr="00C2699B">
        <w:t>affirmative action standards</w:t>
      </w:r>
    </w:p>
    <w:p w:rsidR="00000000" w:rsidRPr="00C2699B" w:rsidP="00C2699B">
      <w:pPr>
        <w:pStyle w:val="ListBullet2"/>
      </w:pPr>
      <w:r w:rsidRPr="00C2699B">
        <w:t>certification requirements</w:t>
      </w:r>
    </w:p>
    <w:p w:rsidR="00000000" w:rsidRPr="00C2699B" w:rsidP="00C2699B">
      <w:pPr>
        <w:pStyle w:val="ListBullet2"/>
      </w:pPr>
      <w:r w:rsidRPr="00C2699B">
        <w:t>license, patent or copyright arrangements</w:t>
      </w:r>
    </w:p>
    <w:p w:rsidR="00000000" w:rsidRPr="00C2699B" w:rsidP="00C2699B">
      <w:pPr>
        <w:pStyle w:val="ListBullet2"/>
      </w:pPr>
      <w:r w:rsidRPr="00C2699B">
        <w:t>quality assurance procedures</w:t>
      </w:r>
    </w:p>
    <w:p w:rsidR="00000000" w:rsidRPr="00C2699B" w:rsidP="00C2699B">
      <w:pPr>
        <w:pStyle w:val="ListBullet2"/>
      </w:pPr>
      <w:r w:rsidRPr="00C2699B">
        <w:t>emergency procedures</w:t>
      </w:r>
    </w:p>
    <w:p w:rsidR="00000000" w:rsidRPr="00C2699B" w:rsidP="00C2699B">
      <w:pPr>
        <w:pStyle w:val="ListBullet"/>
      </w:pPr>
      <w:r w:rsidRPr="00C2699B">
        <w:t>processes of formulation and negotiation of contracts</w:t>
      </w:r>
    </w:p>
    <w:p w:rsidR="00000000" w:rsidRPr="00C2699B" w:rsidP="00C2699B">
      <w:pPr>
        <w:pStyle w:val="ListBullet"/>
      </w:pPr>
      <w:r w:rsidRPr="00C2699B">
        <w:t>enterprise business policies and procedures for maintenance of confidentiality.</w:t>
      </w:r>
    </w:p>
    <w:p w:rsidR="00000000" w:rsidRPr="00C2699B" w:rsidP="00C2699B">
      <w:pPr>
        <w:pStyle w:val="AllowPageBreak"/>
      </w:pPr>
    </w:p>
    <w:p w:rsidR="00000000" w:rsidRPr="00C2699B" w:rsidP="00C2699B">
      <w:pPr>
        <w:pStyle w:val="Heading1"/>
      </w:pPr>
      <w:bookmarkStart w:id="4" w:name="O_1055224"/>
      <w:bookmarkEnd w:id="4"/>
      <w:r w:rsidRPr="00C2699B">
        <w:t>Assessment Conditions</w:t>
      </w:r>
    </w:p>
    <w:p w:rsidR="00000000" w:rsidRPr="00C2699B" w:rsidP="000D7B1B">
      <w:pPr>
        <w:pStyle w:val="BodyText"/>
      </w:pPr>
      <w:r w:rsidRPr="00C2699B">
        <w:t xml:space="preserve">Assessment of skills must take place under the following conditions: </w:t>
      </w:r>
    </w:p>
    <w:p w:rsidR="00000000" w:rsidRPr="00C2699B" w:rsidP="00C2699B">
      <w:pPr>
        <w:pStyle w:val="ListBullet"/>
      </w:pPr>
      <w:r w:rsidRPr="00C2699B">
        <w:t>physical conditions:</w:t>
      </w:r>
    </w:p>
    <w:p w:rsidR="00000000" w:rsidRPr="00C2699B" w:rsidP="00C2699B">
      <w:pPr>
        <w:pStyle w:val="ListBullet2"/>
      </w:pPr>
      <w:r w:rsidRPr="00C2699B">
        <w:t>skills must be demonstrated in a workplace setting or an environment that accurately represents workplace conditions</w:t>
      </w:r>
    </w:p>
    <w:p w:rsidR="00000000" w:rsidRPr="00C2699B" w:rsidP="00C2699B">
      <w:pPr>
        <w:pStyle w:val="ListBullet"/>
      </w:pPr>
      <w:r w:rsidRPr="00C2699B">
        <w:t>resources, equipment and materials:</w:t>
      </w:r>
    </w:p>
    <w:p w:rsidR="00000000" w:rsidRPr="00C2699B" w:rsidP="00C2699B">
      <w:pPr>
        <w:pStyle w:val="ListBullet2"/>
      </w:pPr>
      <w:r w:rsidRPr="00C2699B">
        <w:t>access to information about contracts and relevant contract/employment legislat</w:t>
      </w:r>
      <w:r w:rsidRPr="00C2699B">
        <w:t>ion.</w:t>
      </w:r>
    </w:p>
    <w:p w:rsidR="00000000" w:rsidRPr="00C2699B" w:rsidP="000D7B1B">
      <w:pPr>
        <w:pStyle w:val="BodyText"/>
      </w:pPr>
      <w:r w:rsidRPr="00C2699B">
        <w:t>Assessors of this unit must satisfy the requirements for assessors in applicable vocational education and training legislation, frameworks and/or standards.</w:t>
      </w:r>
    </w:p>
    <w:p w:rsidR="00000000" w:rsidRPr="00C2699B" w:rsidP="00C2699B">
      <w:pPr>
        <w:pStyle w:val="Heading1"/>
      </w:pPr>
      <w:bookmarkStart w:id="5" w:name="O_1055227"/>
      <w:bookmarkEnd w:id="5"/>
      <w:r w:rsidRPr="00C2699B">
        <w:t>Links</w:t>
      </w:r>
    </w:p>
    <w:p w:rsidR="00000000" w:rsidRPr="00C2699B" w:rsidP="000D7B1B">
      <w:pPr>
        <w:pStyle w:val="BodyText"/>
      </w:pPr>
      <w:r w:rsidRPr="00C2699B">
        <w:t xml:space="preserve">Companion Volumes, including Implementation Guides, are available at </w:t>
      </w:r>
      <w:r w:rsidRPr="00C2699B">
        <w:t xml:space="preserve">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18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699B" w:rsidP="00C2699B"/>
    <w:sectPr w:rsidSect="00C269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9B" w:rsidRPr="000D7B1B" w:rsidP="000D7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1B" w:rsidP="00C26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7B1B" w:rsidP="00C26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7B1B" w:rsidP="00C26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99B" w:rsidRPr="000D7B1B" w:rsidP="000D7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1B" w:rsidRPr="002D2AF8" w:rsidP="00C26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AHCBUS514 Negotiate and monitor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D7B1B" w:rsidP="00C26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2873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CC5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D43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99B"/>
  </w:style>
  <w:style w:type="character" w:customStyle="1" w:styleId="Heading1Char">
    <w:name w:val="Heading 1 Char"/>
    <w:basedOn w:val="DefaultParagraphFont"/>
    <w:link w:val="Heading1"/>
    <w:rsid w:val="00C26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9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9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69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6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699B"/>
    <w:rPr>
      <w:b/>
    </w:rPr>
  </w:style>
  <w:style w:type="character" w:customStyle="1" w:styleId="Heading2Char">
    <w:name w:val="Heading 2 Char"/>
    <w:basedOn w:val="DefaultParagraphFont"/>
    <w:link w:val="Heading2"/>
    <w:rsid w:val="00C26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9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9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699B"/>
    <w:rPr>
      <w:b/>
      <w:spacing w:val="0"/>
    </w:rPr>
  </w:style>
  <w:style w:type="paragraph" w:customStyle="1" w:styleId="SuperTitle">
    <w:name w:val="SuperTitle"/>
    <w:basedOn w:val="Title"/>
    <w:rsid w:val="00C26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9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99B"/>
    <w:rPr>
      <w:i/>
    </w:rPr>
  </w:style>
  <w:style w:type="paragraph" w:styleId="Caption">
    <w:name w:val="caption"/>
    <w:basedOn w:val="BodyText"/>
    <w:next w:val="Normal"/>
    <w:qFormat/>
    <w:rsid w:val="00C26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99B"/>
  </w:style>
  <w:style w:type="paragraph" w:styleId="TableofFigures">
    <w:name w:val="table of figures"/>
    <w:basedOn w:val="Normal"/>
    <w:next w:val="Normal"/>
    <w:semiHidden/>
    <w:rsid w:val="00C26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9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699B"/>
    <w:rPr>
      <w:rFonts w:ascii="Wingdings" w:hAnsi="Wingdings"/>
    </w:rPr>
  </w:style>
  <w:style w:type="paragraph" w:customStyle="1" w:styleId="TableHeading">
    <w:name w:val="Table Heading"/>
    <w:basedOn w:val="HeadingBase"/>
    <w:rsid w:val="00C26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99B"/>
    <w:rPr>
      <w:color w:val="0033CC"/>
      <w:u w:val="none"/>
    </w:rPr>
  </w:style>
  <w:style w:type="paragraph" w:customStyle="1" w:styleId="BodyTextRight">
    <w:name w:val="Body Text Right"/>
    <w:basedOn w:val="BodyText"/>
    <w:rsid w:val="00C26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9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99B"/>
    <w:rPr>
      <w:sz w:val="32"/>
    </w:rPr>
  </w:style>
  <w:style w:type="paragraph" w:customStyle="1" w:styleId="HeadingProcedure">
    <w:name w:val="Heading Procedure"/>
    <w:basedOn w:val="HeadingBase"/>
    <w:next w:val="Normal"/>
    <w:rsid w:val="00C26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99B"/>
    <w:pPr>
      <w:spacing w:before="60" w:after="60"/>
    </w:pPr>
  </w:style>
  <w:style w:type="paragraph" w:styleId="ListContinue">
    <w:name w:val="List Continue"/>
    <w:basedOn w:val="List"/>
    <w:rsid w:val="00C2699B"/>
    <w:pPr>
      <w:ind w:firstLine="0"/>
    </w:pPr>
  </w:style>
  <w:style w:type="paragraph" w:customStyle="1" w:styleId="ListNote">
    <w:name w:val="List Note"/>
    <w:basedOn w:val="List"/>
    <w:rsid w:val="00C26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99B"/>
    <w:rPr>
      <w:rFonts w:ascii="Courier New" w:hAnsi="Courier New"/>
    </w:rPr>
  </w:style>
  <w:style w:type="paragraph" w:customStyle="1" w:styleId="NoteBullet">
    <w:name w:val="Note Bullet"/>
    <w:basedOn w:val="Note"/>
    <w:rsid w:val="00C26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9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6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99B"/>
    <w:rPr>
      <w:b/>
      <w:smallCaps/>
    </w:rPr>
  </w:style>
  <w:style w:type="paragraph" w:customStyle="1" w:styleId="TableListNumber">
    <w:name w:val="Table List Number"/>
    <w:basedOn w:val="ListNumber"/>
    <w:rsid w:val="00C26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99B"/>
    <w:pPr>
      <w:numPr>
        <w:numId w:val="9"/>
      </w:numPr>
    </w:pPr>
  </w:style>
  <w:style w:type="paragraph" w:customStyle="1" w:styleId="ListAlpha2">
    <w:name w:val="List Alpha 2"/>
    <w:basedOn w:val="List2"/>
    <w:rsid w:val="00C2699B"/>
    <w:pPr>
      <w:numPr>
        <w:numId w:val="8"/>
      </w:numPr>
    </w:pPr>
  </w:style>
  <w:style w:type="paragraph" w:styleId="List2">
    <w:name w:val="List 2"/>
    <w:basedOn w:val="BodyText"/>
    <w:rsid w:val="00C26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9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9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699B"/>
    <w:pPr>
      <w:numPr>
        <w:numId w:val="4"/>
      </w:numPr>
    </w:pPr>
  </w:style>
  <w:style w:type="paragraph" w:styleId="ListContinue2">
    <w:name w:val="List Continue 2"/>
    <w:basedOn w:val="List2"/>
    <w:rsid w:val="00C2699B"/>
    <w:pPr>
      <w:ind w:firstLine="0"/>
    </w:pPr>
  </w:style>
  <w:style w:type="paragraph" w:styleId="ListContinue3">
    <w:name w:val="List Continue 3"/>
    <w:basedOn w:val="List3"/>
    <w:rsid w:val="00C2699B"/>
    <w:pPr>
      <w:ind w:left="1021" w:firstLine="0"/>
    </w:pPr>
  </w:style>
  <w:style w:type="paragraph" w:styleId="ListContinue4">
    <w:name w:val="List Continue 4"/>
    <w:basedOn w:val="List4"/>
    <w:rsid w:val="00C2699B"/>
    <w:pPr>
      <w:ind w:firstLine="0"/>
    </w:pPr>
  </w:style>
  <w:style w:type="paragraph" w:styleId="ListContinue5">
    <w:name w:val="List Continue 5"/>
    <w:basedOn w:val="List5"/>
    <w:rsid w:val="00C2699B"/>
    <w:pPr>
      <w:ind w:firstLine="0"/>
    </w:pPr>
  </w:style>
  <w:style w:type="paragraph" w:styleId="ListNumber3">
    <w:name w:val="List Number 3"/>
    <w:basedOn w:val="List3"/>
    <w:rsid w:val="00C2699B"/>
    <w:pPr>
      <w:numPr>
        <w:numId w:val="5"/>
      </w:numPr>
    </w:pPr>
  </w:style>
  <w:style w:type="paragraph" w:styleId="ListNumber4">
    <w:name w:val="List Number 4"/>
    <w:basedOn w:val="List4"/>
    <w:rsid w:val="00C2699B"/>
    <w:pPr>
      <w:numPr>
        <w:numId w:val="6"/>
      </w:numPr>
    </w:pPr>
  </w:style>
  <w:style w:type="paragraph" w:styleId="ListNumber5">
    <w:name w:val="List Number 5"/>
    <w:basedOn w:val="List5"/>
    <w:rsid w:val="00C2699B"/>
    <w:pPr>
      <w:numPr>
        <w:numId w:val="7"/>
      </w:numPr>
    </w:pPr>
  </w:style>
  <w:style w:type="paragraph" w:styleId="BlockText">
    <w:name w:val="Block Text"/>
    <w:basedOn w:val="Normal"/>
    <w:rsid w:val="00C26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99B"/>
    <w:rPr>
      <w:sz w:val="16"/>
      <w:vertAlign w:val="superscript"/>
    </w:rPr>
  </w:style>
  <w:style w:type="character" w:customStyle="1" w:styleId="Symbols">
    <w:name w:val="Symbols"/>
    <w:basedOn w:val="DefaultParagraphFont"/>
    <w:rsid w:val="00C2699B"/>
    <w:rPr>
      <w:rFonts w:ascii="Symbol" w:hAnsi="Symbol"/>
    </w:rPr>
  </w:style>
  <w:style w:type="character" w:customStyle="1" w:styleId="MenuOptions">
    <w:name w:val="Menu Options"/>
    <w:basedOn w:val="DefaultParagraphFont"/>
    <w:rsid w:val="00C26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99B"/>
    <w:rPr>
      <w:b/>
    </w:rPr>
  </w:style>
  <w:style w:type="character" w:customStyle="1" w:styleId="Underlined">
    <w:name w:val="Underlined"/>
    <w:basedOn w:val="DefaultParagraphFont"/>
    <w:rsid w:val="00C2699B"/>
    <w:rPr>
      <w:u w:val="single"/>
    </w:rPr>
  </w:style>
  <w:style w:type="paragraph" w:customStyle="1" w:styleId="TableBodyTextRight">
    <w:name w:val="Table Body Text Right"/>
    <w:basedOn w:val="TableBodyText"/>
    <w:rsid w:val="00C26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99B"/>
    <w:rPr>
      <w:sz w:val="18"/>
    </w:rPr>
  </w:style>
  <w:style w:type="paragraph" w:customStyle="1" w:styleId="BodySmallRight">
    <w:name w:val="Body Small Right"/>
    <w:basedOn w:val="BodyTextRight"/>
    <w:rsid w:val="00C2699B"/>
    <w:rPr>
      <w:sz w:val="18"/>
      <w:szCs w:val="18"/>
    </w:rPr>
  </w:style>
  <w:style w:type="paragraph" w:customStyle="1" w:styleId="MarginEdition">
    <w:name w:val="Margin Edition"/>
    <w:basedOn w:val="MarginNote"/>
    <w:rsid w:val="00C26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99B"/>
    <w:rPr>
      <w:sz w:val="2"/>
      <w:szCs w:val="2"/>
    </w:rPr>
  </w:style>
  <w:style w:type="character" w:customStyle="1" w:styleId="Small">
    <w:name w:val="Small"/>
    <w:basedOn w:val="DefaultParagraphFont"/>
    <w:rsid w:val="00C2699B"/>
    <w:rPr>
      <w:sz w:val="16"/>
    </w:rPr>
  </w:style>
  <w:style w:type="paragraph" w:customStyle="1" w:styleId="WideTable">
    <w:name w:val="Wide Table"/>
    <w:basedOn w:val="Normal"/>
    <w:rsid w:val="00C26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99B"/>
  </w:style>
  <w:style w:type="paragraph" w:styleId="Quote">
    <w:name w:val="Quote"/>
    <w:basedOn w:val="Heading1"/>
    <w:link w:val="QuoteChar"/>
    <w:qFormat/>
    <w:rsid w:val="00C26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99B"/>
    <w:pPr>
      <w:pageBreakBefore/>
    </w:pPr>
  </w:style>
  <w:style w:type="paragraph" w:customStyle="1" w:styleId="Border">
    <w:name w:val="Border"/>
    <w:basedOn w:val="Normal"/>
    <w:qFormat/>
    <w:rsid w:val="00C26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99B"/>
    <w:rPr>
      <w:u w:val="single"/>
    </w:rPr>
  </w:style>
  <w:style w:type="character" w:customStyle="1" w:styleId="BoldandItalics">
    <w:name w:val="Bold and Italics"/>
    <w:qFormat/>
    <w:rsid w:val="00C2699B"/>
    <w:rPr>
      <w:b/>
      <w:i/>
      <w:u w:val="none"/>
    </w:rPr>
  </w:style>
  <w:style w:type="paragraph" w:styleId="BalloonText">
    <w:name w:val="Balloon Text"/>
    <w:basedOn w:val="Normal"/>
    <w:link w:val="BalloonTextChar"/>
    <w:rsid w:val="00C26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9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7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2312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AHCBUS514 Negotiate and monitor contracts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