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07A7" w:rsidP="00B207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AHCARB702 Analyse mycology cultures</w:t>
      </w:r>
      <w:r>
        <w:fldChar w:fldCharType="end"/>
      </w:r>
    </w:p>
    <w:p w:rsidR="00B207A7" w:rsidP="00B207A7">
      <w:pPr>
        <w:pStyle w:val="Version"/>
        <w:sectPr w:rsidSect="00B663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63DA" w:rsidP="00B663DA">
      <w:pPr>
        <w:pStyle w:val="SuperHeading"/>
      </w:pPr>
      <w:r w:rsidRPr="00B663DA">
        <w:t>Assessment Requirements for AHCARB702 Analyse mycology cultures</w:t>
      </w:r>
    </w:p>
    <w:p w:rsidR="00000000" w:rsidRPr="00B663DA" w:rsidP="00B663DA">
      <w:pPr>
        <w:pStyle w:val="Heading1"/>
      </w:pPr>
      <w:bookmarkStart w:id="1" w:name="O_877708"/>
      <w:bookmarkEnd w:id="1"/>
      <w:r w:rsidRPr="00B663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66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3DA">
            <w:pPr>
              <w:pStyle w:val="TableHeading"/>
              <w:rPr>
                <w:lang w:val="en-NZ"/>
              </w:rPr>
            </w:pPr>
            <w:r w:rsidRPr="00B663D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3DA">
            <w:pPr>
              <w:pStyle w:val="TableHeading"/>
              <w:rPr>
                <w:lang w:val="en-NZ"/>
              </w:rPr>
            </w:pPr>
            <w:r w:rsidRPr="00B663D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3DA">
            <w:pPr>
              <w:pStyle w:val="TableHeading"/>
              <w:rPr>
                <w:lang w:val="en-NZ"/>
              </w:rPr>
            </w:pPr>
            <w:r w:rsidRPr="00B663DA">
              <w:t>Comment</w:t>
            </w:r>
          </w:p>
        </w:tc>
      </w:tr>
      <w:tr w:rsidTr="00B66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3DA">
            <w:pPr>
              <w:pStyle w:val="BodyText"/>
              <w:rPr>
                <w:lang w:val="en-NZ"/>
              </w:rPr>
            </w:pPr>
            <w:r w:rsidRPr="00B663D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3DA">
            <w:pPr>
              <w:pStyle w:val="BodyText"/>
              <w:rPr>
                <w:lang w:val="en-NZ"/>
              </w:rPr>
            </w:pPr>
            <w:r w:rsidRPr="00B663D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3DA" w:rsidP="00B663DA">
            <w:pPr>
              <w:pStyle w:val="BodyText"/>
            </w:pPr>
            <w:r w:rsidRPr="00B663DA">
              <w:t>Initial release</w:t>
            </w:r>
          </w:p>
        </w:tc>
      </w:tr>
    </w:tbl>
    <w:p w:rsidR="00000000" w:rsidRPr="00B663DA" w:rsidP="00B663DA">
      <w:pPr>
        <w:pStyle w:val="BodyText"/>
      </w:pPr>
    </w:p>
    <w:p w:rsidR="00000000" w:rsidRPr="00B663DA" w:rsidP="00B663DA">
      <w:pPr>
        <w:pStyle w:val="AllowPageBreak"/>
      </w:pPr>
    </w:p>
    <w:p w:rsidR="00000000" w:rsidRPr="00B663DA" w:rsidP="00B663DA">
      <w:pPr>
        <w:pStyle w:val="Heading1"/>
      </w:pPr>
      <w:bookmarkStart w:id="2" w:name="O_877709"/>
      <w:bookmarkEnd w:id="2"/>
      <w:r w:rsidRPr="00B663DA">
        <w:t>Performance Evidence</w:t>
      </w:r>
    </w:p>
    <w:p w:rsidR="00000000" w:rsidRPr="00B663DA" w:rsidP="00B207A7">
      <w:pPr>
        <w:pStyle w:val="BodyText"/>
      </w:pPr>
      <w:r w:rsidRPr="00B663D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663DA" w:rsidP="00B207A7">
      <w:pPr>
        <w:pStyle w:val="BodyText"/>
      </w:pPr>
      <w:r w:rsidRPr="00B663DA">
        <w:t>The candidate must provid</w:t>
      </w:r>
      <w:r w:rsidRPr="00B663DA">
        <w:t>e evidence for and demonstrate:</w:t>
      </w:r>
    </w:p>
    <w:p w:rsidR="00000000" w:rsidRPr="00B663DA" w:rsidP="00B663DA">
      <w:pPr>
        <w:pStyle w:val="ListBullet"/>
      </w:pPr>
      <w:r w:rsidRPr="00B663DA">
        <w:t>researching the role of fungi in biodiversity, tree nutrition, forest health, environmental biochemistry and pathology</w:t>
      </w:r>
    </w:p>
    <w:p w:rsidR="00000000" w:rsidRPr="00B663DA" w:rsidP="00B663DA">
      <w:pPr>
        <w:pStyle w:val="ListBullet"/>
      </w:pPr>
      <w:r w:rsidRPr="00B663DA">
        <w:t>researching the role and contribution of wood decay fungi to forest health, the influence of environment</w:t>
      </w:r>
      <w:r w:rsidRPr="00B663DA">
        <w:t>al stresses and physiological tree responses</w:t>
      </w:r>
    </w:p>
    <w:p w:rsidR="00000000" w:rsidRPr="00B663DA" w:rsidP="00B663DA">
      <w:pPr>
        <w:pStyle w:val="ListBullet"/>
      </w:pPr>
      <w:r w:rsidRPr="00B663DA">
        <w:t>examining the taxonomy and evolutionary relationships of corticoid and polypore wood decay fungi</w:t>
      </w:r>
    </w:p>
    <w:p w:rsidR="00000000" w:rsidRPr="00B663DA" w:rsidP="00B663DA">
      <w:pPr>
        <w:pStyle w:val="ListBullet"/>
      </w:pPr>
      <w:r w:rsidRPr="00B663DA">
        <w:t>investigating the role of fungal species on various hosts</w:t>
      </w:r>
    </w:p>
    <w:p w:rsidR="00000000" w:rsidRPr="00B663DA" w:rsidP="00B663DA">
      <w:pPr>
        <w:pStyle w:val="ListBullet"/>
      </w:pPr>
      <w:r w:rsidRPr="00B663DA">
        <w:t>conducting analysis of lifecycle, biology, ecology and e</w:t>
      </w:r>
      <w:r w:rsidRPr="00B663DA">
        <w:t>ffects of pathogenic wood decay fungi species</w:t>
      </w:r>
    </w:p>
    <w:p w:rsidR="00000000" w:rsidRPr="00B663DA" w:rsidP="00B663DA">
      <w:pPr>
        <w:pStyle w:val="ListBullet"/>
      </w:pPr>
      <w:r w:rsidRPr="00B663DA">
        <w:t>conducting analysis of lifecycle, biology, ecology and effects of saprophytic wood decay fungi species</w:t>
      </w:r>
    </w:p>
    <w:p w:rsidR="00000000" w:rsidRPr="00B663DA" w:rsidP="00B663DA">
      <w:pPr>
        <w:pStyle w:val="ListBullet"/>
      </w:pPr>
      <w:r w:rsidRPr="00B663DA">
        <w:t xml:space="preserve">examining the relationships of fungal species with branch and tree failures </w:t>
      </w:r>
    </w:p>
    <w:p w:rsidR="00000000" w:rsidRPr="00B663DA" w:rsidP="00B663DA">
      <w:pPr>
        <w:pStyle w:val="ListBullet"/>
      </w:pPr>
      <w:r w:rsidRPr="00B663DA">
        <w:t>analysing biosecurity implicat</w:t>
      </w:r>
      <w:r w:rsidRPr="00B663DA">
        <w:t xml:space="preserve">ions of known and threat fungal species </w:t>
      </w:r>
    </w:p>
    <w:p w:rsidR="00000000" w:rsidRPr="00B663DA" w:rsidP="00B663DA">
      <w:pPr>
        <w:pStyle w:val="ListBullet"/>
      </w:pPr>
      <w:r w:rsidRPr="00B663DA">
        <w:t xml:space="preserve">reviewing PLANTPLAN biosecurity plans and procedures </w:t>
      </w:r>
    </w:p>
    <w:p w:rsidR="00000000" w:rsidRPr="00B663DA" w:rsidP="00B663DA">
      <w:pPr>
        <w:pStyle w:val="ListBullet"/>
      </w:pPr>
      <w:r w:rsidRPr="00B663DA">
        <w:t>performing visual evaluation of the signs and symptoms of fungi and decay, including: visual symptoms such as dieback, reduced growth rate and chlorosis, presenc</w:t>
      </w:r>
      <w:r w:rsidRPr="00B663DA">
        <w:t>e of basidiocarps, decayed wounds, hollows and cavities</w:t>
      </w:r>
    </w:p>
    <w:p w:rsidR="00000000" w:rsidRPr="00B663DA" w:rsidP="00B663DA">
      <w:pPr>
        <w:pStyle w:val="ListBullet"/>
      </w:pPr>
      <w:r w:rsidRPr="00B663DA">
        <w:t>performing field identification of wood decay species of fungi to generic level</w:t>
      </w:r>
    </w:p>
    <w:p w:rsidR="00000000" w:rsidRPr="00B663DA" w:rsidP="00B663DA">
      <w:pPr>
        <w:pStyle w:val="ListBullet"/>
      </w:pPr>
      <w:r w:rsidRPr="00B663DA">
        <w:t>performing field identification of non-pathogenic fungi species to generic level</w:t>
      </w:r>
    </w:p>
    <w:p w:rsidR="00000000" w:rsidRPr="00B663DA" w:rsidP="00B663DA">
      <w:pPr>
        <w:pStyle w:val="ListBullet"/>
      </w:pPr>
      <w:r w:rsidRPr="00B663DA">
        <w:t>documenting location, size, and conditi</w:t>
      </w:r>
      <w:r w:rsidRPr="00B663DA">
        <w:t xml:space="preserve">on of wood decay fungi, presence of mycoparasites, and size, condition and extent of hollows and cavities </w:t>
      </w:r>
    </w:p>
    <w:p w:rsidR="00000000" w:rsidRPr="00B663DA" w:rsidP="00B663DA">
      <w:pPr>
        <w:pStyle w:val="ListBullet"/>
      </w:pPr>
      <w:r w:rsidRPr="00B663DA">
        <w:t>documenting details of environmental characteristics of fungal affected trees: site characteristics, site history, soil conditions, climate and micro</w:t>
      </w:r>
      <w:r w:rsidRPr="00B663DA">
        <w:t>climatic variables, proximity of adjacent trees and vegetation, movement of people and vehicles, and potential impacts to assets, property and landscape</w:t>
      </w:r>
    </w:p>
    <w:p w:rsidR="00000000" w:rsidRPr="00B663DA" w:rsidP="00B663DA">
      <w:pPr>
        <w:pStyle w:val="ListBullet"/>
      </w:pPr>
      <w:r w:rsidRPr="00B663DA">
        <w:t>determining methods of introduction, establishment, spread, and susceptibility of adjacent trees and ve</w:t>
      </w:r>
      <w:r w:rsidRPr="00B663DA">
        <w:t>getation</w:t>
      </w:r>
    </w:p>
    <w:p w:rsidR="00000000" w:rsidRPr="00B663DA" w:rsidP="00B663DA">
      <w:pPr>
        <w:pStyle w:val="ListBullet"/>
      </w:pPr>
      <w:r w:rsidRPr="00B663DA">
        <w:t>performing field sampling techniques of wood decay fungi and mycoparasites suitable for in-vitro culture and identification</w:t>
      </w:r>
    </w:p>
    <w:p w:rsidR="00000000" w:rsidRPr="00B663DA" w:rsidP="00B663DA">
      <w:pPr>
        <w:pStyle w:val="ListBullet"/>
      </w:pPr>
      <w:r w:rsidRPr="00B663DA">
        <w:t>decanting and preparing standard laboratory chemicals and materials</w:t>
      </w:r>
    </w:p>
    <w:p w:rsidR="00000000" w:rsidRPr="00B663DA" w:rsidP="00B663DA">
      <w:pPr>
        <w:pStyle w:val="ListBullet"/>
      </w:pPr>
      <w:r w:rsidRPr="00B663DA">
        <w:t xml:space="preserve">creating selective culturing media to grow and isolate field samples </w:t>
      </w:r>
    </w:p>
    <w:p w:rsidR="00000000" w:rsidRPr="00B663DA" w:rsidP="00B663DA">
      <w:pPr>
        <w:pStyle w:val="ListBullet"/>
      </w:pPr>
      <w:r w:rsidRPr="00B663DA">
        <w:t>preparing field samples for culturing on media</w:t>
      </w:r>
    </w:p>
    <w:p w:rsidR="00000000" w:rsidRPr="00B663DA" w:rsidP="00B663DA">
      <w:pPr>
        <w:pStyle w:val="ListBullet"/>
      </w:pPr>
      <w:r w:rsidRPr="00B663DA">
        <w:t>taking samples from field samples and apply to growth media</w:t>
      </w:r>
    </w:p>
    <w:p w:rsidR="00000000" w:rsidRPr="00B663DA" w:rsidP="00B663DA">
      <w:pPr>
        <w:pStyle w:val="ListBullet"/>
      </w:pPr>
      <w:r w:rsidRPr="00B663DA">
        <w:t>isolating clean cultures from primary field cultures, and repeating until clean</w:t>
      </w:r>
      <w:r w:rsidRPr="00B663DA">
        <w:t xml:space="preserve"> sample is obtained</w:t>
      </w:r>
    </w:p>
    <w:p w:rsidR="00000000" w:rsidRPr="00B663DA" w:rsidP="00B663DA">
      <w:pPr>
        <w:pStyle w:val="ListBullet"/>
      </w:pPr>
      <w:r w:rsidRPr="00B663DA">
        <w:t>preparing cultured samples for further testing such as deoxyribonucleic (DNA) based assay techniques</w:t>
      </w:r>
    </w:p>
    <w:p w:rsidR="00000000" w:rsidRPr="00B663DA" w:rsidP="00B663DA">
      <w:pPr>
        <w:pStyle w:val="ListBullet"/>
      </w:pPr>
      <w:r w:rsidRPr="00B663DA">
        <w:t xml:space="preserve">documenting records and storing securely digital and physical evidence: field samples, slides, growth media, DNA and cultured samples, </w:t>
      </w:r>
      <w:r w:rsidRPr="00B663DA">
        <w:t>following chain of evidence protocols</w:t>
      </w:r>
    </w:p>
    <w:p w:rsidR="00000000" w:rsidRPr="00B663DA" w:rsidP="00B663DA">
      <w:pPr>
        <w:pStyle w:val="ListBullet"/>
      </w:pPr>
      <w:r w:rsidRPr="00B663DA">
        <w:t xml:space="preserve">preparing microscope slides of isolated cultures </w:t>
      </w:r>
    </w:p>
    <w:p w:rsidR="00000000" w:rsidRPr="00B663DA" w:rsidP="00B663DA">
      <w:pPr>
        <w:pStyle w:val="ListBullet"/>
      </w:pPr>
      <w:r w:rsidRPr="00B663DA">
        <w:t>examining and identify cultured fungal samples</w:t>
      </w:r>
    </w:p>
    <w:p w:rsidR="00000000" w:rsidRPr="00B663DA" w:rsidP="00B663DA">
      <w:pPr>
        <w:pStyle w:val="ListBullet"/>
      </w:pPr>
      <w:r w:rsidRPr="00B663DA">
        <w:t>performing laboratory identification of wood decay fungi to generic level</w:t>
      </w:r>
    </w:p>
    <w:p w:rsidR="00000000" w:rsidRPr="00B663DA" w:rsidP="00B663DA">
      <w:pPr>
        <w:pStyle w:val="ListBullet"/>
      </w:pPr>
      <w:r w:rsidRPr="00B663DA">
        <w:t>recording digital images of identified fungi</w:t>
      </w:r>
    </w:p>
    <w:p w:rsidR="00000000" w:rsidRPr="00B663DA" w:rsidP="00B663DA">
      <w:pPr>
        <w:pStyle w:val="ListBullet"/>
      </w:pPr>
      <w:r w:rsidRPr="00B663DA">
        <w:t>pe</w:t>
      </w:r>
      <w:r w:rsidRPr="00B663DA">
        <w:t>rforming laboratory assay tests for growth rate, temperature range, pathogenicity, and mycoparasitism to evaluate fungal characteristics</w:t>
      </w:r>
    </w:p>
    <w:p w:rsidR="00000000" w:rsidRPr="00B663DA" w:rsidP="00B663DA">
      <w:pPr>
        <w:pStyle w:val="ListBullet"/>
      </w:pPr>
      <w:r w:rsidRPr="00B663DA">
        <w:t>documenting experimental assay test results</w:t>
      </w:r>
    </w:p>
    <w:p w:rsidR="00000000" w:rsidRPr="00B663DA" w:rsidP="00B663DA">
      <w:pPr>
        <w:pStyle w:val="ListBullet"/>
      </w:pPr>
      <w:r w:rsidRPr="00B663DA">
        <w:t>developing and maintaining a culture collection for identification of fungi</w:t>
      </w:r>
      <w:r w:rsidRPr="00B663DA">
        <w:t xml:space="preserve"> and submission to relevant government databases and culture collections</w:t>
      </w:r>
    </w:p>
    <w:p w:rsidR="00000000" w:rsidRPr="00B663DA" w:rsidP="00B663DA">
      <w:pPr>
        <w:pStyle w:val="ListBullet"/>
      </w:pPr>
      <w:r w:rsidRPr="00B663DA">
        <w:t>documenting a diagnostic report on a suspected emergency plant pest (EPP) following PLANTPLAN guidelines.</w:t>
      </w:r>
    </w:p>
    <w:p w:rsidR="00000000" w:rsidRPr="00B663DA" w:rsidP="00B663DA">
      <w:pPr>
        <w:pStyle w:val="AllowPageBreak"/>
      </w:pPr>
    </w:p>
    <w:p w:rsidR="00000000" w:rsidRPr="00B663DA" w:rsidP="00B663DA">
      <w:pPr>
        <w:pStyle w:val="Heading1"/>
      </w:pPr>
      <w:bookmarkStart w:id="3" w:name="O_877710"/>
      <w:bookmarkEnd w:id="3"/>
      <w:r w:rsidRPr="00B663DA">
        <w:t>Knowledge Evidence</w:t>
      </w:r>
    </w:p>
    <w:p w:rsidR="00000000" w:rsidRPr="00B663DA" w:rsidP="00B207A7">
      <w:pPr>
        <w:pStyle w:val="BodyText"/>
      </w:pPr>
      <w:r w:rsidRPr="00B663DA">
        <w:t xml:space="preserve">The candidate must demonstrate knowledge </w:t>
      </w:r>
      <w:r w:rsidRPr="00B663DA">
        <w:t>of:</w:t>
      </w:r>
    </w:p>
    <w:p w:rsidR="00000000" w:rsidRPr="00B663DA" w:rsidP="00B663DA">
      <w:pPr>
        <w:pStyle w:val="ListBullet"/>
      </w:pPr>
      <w:r w:rsidRPr="00B663DA">
        <w:t>the role of fungi in biodiversity, tree nutrition, forest health, environmental biochemistry and pathology</w:t>
      </w:r>
    </w:p>
    <w:p w:rsidR="00000000" w:rsidRPr="00B663DA" w:rsidP="00B663DA">
      <w:pPr>
        <w:pStyle w:val="ListBullet"/>
      </w:pPr>
      <w:r w:rsidRPr="00B663DA">
        <w:t>the role and contribution of wood decay fungi to forest health, the influence of environmental stresses and physiological tree responses</w:t>
      </w:r>
    </w:p>
    <w:p w:rsidR="00000000" w:rsidRPr="00B663DA" w:rsidP="00B663DA">
      <w:pPr>
        <w:pStyle w:val="ListBullet"/>
      </w:pPr>
      <w:r w:rsidRPr="00B663DA">
        <w:t>taxonom</w:t>
      </w:r>
      <w:r w:rsidRPr="00B663DA">
        <w:t>y and evolutionary relationships of corticoid and polypore wood decay fungi</w:t>
      </w:r>
    </w:p>
    <w:p w:rsidR="00000000" w:rsidRPr="00B663DA" w:rsidP="00B663DA">
      <w:pPr>
        <w:pStyle w:val="ListBullet"/>
      </w:pPr>
      <w:r w:rsidRPr="00B663DA">
        <w:t>the role of fungal species on various hosts</w:t>
      </w:r>
    </w:p>
    <w:p w:rsidR="00000000" w:rsidRPr="00B663DA" w:rsidP="00B663DA">
      <w:pPr>
        <w:pStyle w:val="ListBullet"/>
      </w:pPr>
      <w:r w:rsidRPr="00B663DA">
        <w:t>lifecycles, biology, ecology and effects of pathogenic wood decay fungi species</w:t>
      </w:r>
    </w:p>
    <w:p w:rsidR="00000000" w:rsidRPr="00B663DA" w:rsidP="00B663DA">
      <w:pPr>
        <w:pStyle w:val="ListBullet"/>
      </w:pPr>
      <w:r w:rsidRPr="00B663DA">
        <w:t>lifecycle, biology, ecology and effects of saprophytic wood decay fungi species</w:t>
      </w:r>
    </w:p>
    <w:p w:rsidR="00000000" w:rsidRPr="00B663DA" w:rsidP="00B663DA">
      <w:pPr>
        <w:pStyle w:val="ListBullet"/>
      </w:pPr>
      <w:r w:rsidRPr="00B663DA">
        <w:t xml:space="preserve">relationships of fungal species with branch and tree failures </w:t>
      </w:r>
    </w:p>
    <w:p w:rsidR="00000000" w:rsidRPr="00B663DA" w:rsidP="00B663DA">
      <w:pPr>
        <w:pStyle w:val="ListBullet"/>
      </w:pPr>
      <w:r w:rsidRPr="00B663DA">
        <w:t xml:space="preserve">biosecurity implications of known and threat fungal species </w:t>
      </w:r>
    </w:p>
    <w:p w:rsidR="00000000" w:rsidRPr="00B663DA" w:rsidP="00B663DA">
      <w:pPr>
        <w:pStyle w:val="ListBullet"/>
      </w:pPr>
      <w:r w:rsidRPr="00B663DA">
        <w:t xml:space="preserve">PLANTPLAN biosecurity plans and procedures </w:t>
      </w:r>
    </w:p>
    <w:p w:rsidR="00000000" w:rsidRPr="00B663DA" w:rsidP="00B663DA">
      <w:pPr>
        <w:pStyle w:val="ListBullet"/>
      </w:pPr>
      <w:r w:rsidRPr="00B663DA">
        <w:t>visual e</w:t>
      </w:r>
      <w:r w:rsidRPr="00B663DA">
        <w:t>valuation of the signs and symptoms of fungi and decay, including: visual symptoms such as dieback, reduced growth rate and chlorosis, presence of basidiocarps, decayed wounds, hollows and cavities</w:t>
      </w:r>
    </w:p>
    <w:p w:rsidR="00000000" w:rsidRPr="00B663DA" w:rsidP="00B663DA">
      <w:pPr>
        <w:pStyle w:val="ListBullet"/>
      </w:pPr>
      <w:r w:rsidRPr="00B663DA">
        <w:t>field identification of wood decay species of fungi to gen</w:t>
      </w:r>
      <w:r w:rsidRPr="00B663DA">
        <w:t>eric level</w:t>
      </w:r>
    </w:p>
    <w:p w:rsidR="00000000" w:rsidRPr="00B663DA" w:rsidP="00B663DA">
      <w:pPr>
        <w:pStyle w:val="ListBullet"/>
      </w:pPr>
      <w:r w:rsidRPr="00B663DA">
        <w:t>field identification of non-pathogenic fungi species to generic level</w:t>
      </w:r>
    </w:p>
    <w:p w:rsidR="00000000" w:rsidRPr="00B663DA" w:rsidP="00B663DA">
      <w:pPr>
        <w:pStyle w:val="ListBullet"/>
      </w:pPr>
      <w:r w:rsidRPr="00B663DA">
        <w:t xml:space="preserve">location, size, and condition of wood decay fungi, presence of mycoparasites, and size, condition and extent of hollows and cavities </w:t>
      </w:r>
    </w:p>
    <w:p w:rsidR="00000000" w:rsidRPr="00B663DA" w:rsidP="00B663DA">
      <w:pPr>
        <w:pStyle w:val="ListBullet"/>
      </w:pPr>
      <w:r w:rsidRPr="00B663DA">
        <w:t>environmental characteristics of fungal a</w:t>
      </w:r>
      <w:r w:rsidRPr="00B663DA">
        <w:t>ffected trees: site characteristics, site history, soil conditions, climate and microclimatic variables, proximity of adjacent trees and vegetation, movement of people and vehicles, and potential impacts to assets, property and landscape</w:t>
      </w:r>
    </w:p>
    <w:p w:rsidR="00000000" w:rsidRPr="00B663DA" w:rsidP="00B663DA">
      <w:pPr>
        <w:pStyle w:val="ListBullet"/>
      </w:pPr>
      <w:r w:rsidRPr="00B663DA">
        <w:t>methods of introdu</w:t>
      </w:r>
      <w:r w:rsidRPr="00B663DA">
        <w:t>ction, establishment, spread, and susceptibility of adjacent trees and vegetation</w:t>
      </w:r>
    </w:p>
    <w:p w:rsidR="00000000" w:rsidRPr="00B663DA" w:rsidP="00B663DA">
      <w:pPr>
        <w:pStyle w:val="ListBullet"/>
      </w:pPr>
      <w:r w:rsidRPr="00B663DA">
        <w:t>field sampling techniques of wood decay fungi and mycoparasites</w:t>
      </w:r>
    </w:p>
    <w:p w:rsidR="00000000" w:rsidRPr="00B663DA" w:rsidP="00B663DA">
      <w:pPr>
        <w:pStyle w:val="ListBullet"/>
      </w:pPr>
      <w:r w:rsidRPr="00B663DA">
        <w:t>in-vitro culture of wood decay fungi and mycoparasites</w:t>
      </w:r>
    </w:p>
    <w:p w:rsidR="00000000" w:rsidRPr="00B663DA" w:rsidP="00B663DA">
      <w:pPr>
        <w:pStyle w:val="ListBullet"/>
      </w:pPr>
      <w:r w:rsidRPr="00B663DA">
        <w:t>identification of wood decay fungi and mycoparasites</w:t>
      </w:r>
    </w:p>
    <w:p w:rsidR="00000000" w:rsidRPr="00B663DA" w:rsidP="00B663DA">
      <w:pPr>
        <w:pStyle w:val="ListBullet"/>
      </w:pPr>
      <w:r w:rsidRPr="00B663DA">
        <w:t>me</w:t>
      </w:r>
      <w:r w:rsidRPr="00B663DA">
        <w:t>thods of decanting and preparing standard laboratory chemicals and materials</w:t>
      </w:r>
    </w:p>
    <w:p w:rsidR="00000000" w:rsidRPr="00B663DA" w:rsidP="00B663DA">
      <w:pPr>
        <w:pStyle w:val="ListBullet"/>
      </w:pPr>
      <w:r w:rsidRPr="00B663DA">
        <w:t>creation of selective culturing media to grow and isolate field samples</w:t>
      </w:r>
    </w:p>
    <w:p w:rsidR="00000000" w:rsidRPr="00B663DA" w:rsidP="00B663DA">
      <w:pPr>
        <w:pStyle w:val="ListBullet"/>
      </w:pPr>
      <w:r w:rsidRPr="00B663DA">
        <w:t>preparation of field samples for culturing on media</w:t>
      </w:r>
    </w:p>
    <w:p w:rsidR="00000000" w:rsidRPr="00B663DA" w:rsidP="00B663DA">
      <w:pPr>
        <w:pStyle w:val="ListBullet"/>
      </w:pPr>
      <w:r w:rsidRPr="00B663DA">
        <w:t>methods of sampling from field samples</w:t>
      </w:r>
    </w:p>
    <w:p w:rsidR="00000000" w:rsidRPr="00B663DA" w:rsidP="00B663DA">
      <w:pPr>
        <w:pStyle w:val="ListBullet"/>
      </w:pPr>
      <w:r w:rsidRPr="00B663DA">
        <w:t>methods of appli</w:t>
      </w:r>
      <w:r w:rsidRPr="00B663DA">
        <w:t>cation of samples to growth media</w:t>
      </w:r>
    </w:p>
    <w:p w:rsidR="00000000" w:rsidRPr="00B663DA" w:rsidP="00B663DA">
      <w:pPr>
        <w:pStyle w:val="ListBullet"/>
      </w:pPr>
      <w:r w:rsidRPr="00B663DA">
        <w:t>isolation of clean cultures from primary field cultures</w:t>
      </w:r>
    </w:p>
    <w:p w:rsidR="00000000" w:rsidRPr="00B663DA" w:rsidP="00B663DA">
      <w:pPr>
        <w:pStyle w:val="ListBullet"/>
      </w:pPr>
      <w:r w:rsidRPr="00B663DA">
        <w:t>methods of obtaining clean samples</w:t>
      </w:r>
    </w:p>
    <w:p w:rsidR="00000000" w:rsidRPr="00B663DA" w:rsidP="00B663DA">
      <w:pPr>
        <w:pStyle w:val="ListBullet"/>
      </w:pPr>
      <w:r w:rsidRPr="00B663DA">
        <w:t>preparation of cultured samples</w:t>
      </w:r>
    </w:p>
    <w:p w:rsidR="00000000" w:rsidRPr="00B663DA" w:rsidP="00B663DA">
      <w:pPr>
        <w:pStyle w:val="ListBullet"/>
      </w:pPr>
      <w:r w:rsidRPr="00B663DA">
        <w:t>deoxyribonucleic (DNA) based assay techniques</w:t>
      </w:r>
    </w:p>
    <w:p w:rsidR="00000000" w:rsidRPr="00B663DA" w:rsidP="00B663DA">
      <w:pPr>
        <w:pStyle w:val="ListBullet"/>
      </w:pPr>
      <w:r w:rsidRPr="00B663DA">
        <w:t>documentation of records</w:t>
      </w:r>
    </w:p>
    <w:p w:rsidR="00000000" w:rsidRPr="00B663DA" w:rsidP="00B663DA">
      <w:pPr>
        <w:pStyle w:val="ListBullet"/>
      </w:pPr>
      <w:r w:rsidRPr="00B663DA">
        <w:t>secure storage of digital and physical evidence: field samples, slides, growth media, DNA and cultured samples</w:t>
      </w:r>
    </w:p>
    <w:p w:rsidR="00000000" w:rsidRPr="00B663DA" w:rsidP="00B663DA">
      <w:pPr>
        <w:pStyle w:val="ListBullet"/>
      </w:pPr>
      <w:r w:rsidRPr="00B663DA">
        <w:t>chain of evidence protocols</w:t>
      </w:r>
    </w:p>
    <w:p w:rsidR="00000000" w:rsidRPr="00B663DA" w:rsidP="00B663DA">
      <w:pPr>
        <w:pStyle w:val="ListBullet"/>
      </w:pPr>
      <w:r w:rsidRPr="00B663DA">
        <w:t>preparation of microscope slides of isolated cultures</w:t>
      </w:r>
    </w:p>
    <w:p w:rsidR="00000000" w:rsidRPr="00B663DA" w:rsidP="00B663DA">
      <w:pPr>
        <w:pStyle w:val="ListBullet"/>
      </w:pPr>
      <w:r w:rsidRPr="00B663DA">
        <w:t>identification of cultured fungal samples</w:t>
      </w:r>
    </w:p>
    <w:p w:rsidR="00000000" w:rsidRPr="00B663DA" w:rsidP="00B663DA">
      <w:pPr>
        <w:pStyle w:val="ListBullet"/>
      </w:pPr>
      <w:r w:rsidRPr="00B663DA">
        <w:t>laboratory identifica</w:t>
      </w:r>
      <w:r w:rsidRPr="00B663DA">
        <w:t>tion of wood decay fungi to generic level</w:t>
      </w:r>
    </w:p>
    <w:p w:rsidR="00000000" w:rsidRPr="00B663DA" w:rsidP="00B663DA">
      <w:pPr>
        <w:pStyle w:val="ListBullet"/>
      </w:pPr>
      <w:r w:rsidRPr="00B663DA">
        <w:t>digital imaging of identified fungi</w:t>
      </w:r>
    </w:p>
    <w:p w:rsidR="00000000" w:rsidRPr="00B663DA" w:rsidP="00B663DA">
      <w:pPr>
        <w:pStyle w:val="ListBullet"/>
      </w:pPr>
      <w:r w:rsidRPr="00B663DA">
        <w:t>laboratory assay tests for growth rate, temperature range, pathogenicity, and mycoparasitism to evaluate fungal characteristics</w:t>
      </w:r>
    </w:p>
    <w:p w:rsidR="00000000" w:rsidRPr="00B663DA" w:rsidP="00B663DA">
      <w:pPr>
        <w:pStyle w:val="ListBullet"/>
      </w:pPr>
      <w:r w:rsidRPr="00B663DA">
        <w:t>documentation of experimental assay test results</w:t>
      </w:r>
    </w:p>
    <w:p w:rsidR="00000000" w:rsidRPr="00B663DA" w:rsidP="00B663DA">
      <w:pPr>
        <w:pStyle w:val="ListBullet"/>
      </w:pPr>
      <w:r w:rsidRPr="00B663DA">
        <w:t>d</w:t>
      </w:r>
      <w:r w:rsidRPr="00B663DA">
        <w:t>evelopment and maintenance of culture collections</w:t>
      </w:r>
    </w:p>
    <w:p w:rsidR="00000000" w:rsidRPr="00B663DA" w:rsidP="00B663DA">
      <w:pPr>
        <w:pStyle w:val="ListBullet"/>
      </w:pPr>
      <w:r w:rsidRPr="00B663DA">
        <w:t>methods of submission to relevant government databases and culture collections</w:t>
      </w:r>
    </w:p>
    <w:p w:rsidR="00000000" w:rsidRPr="00B663DA" w:rsidP="00B663DA">
      <w:pPr>
        <w:pStyle w:val="ListBullet"/>
      </w:pPr>
      <w:r w:rsidRPr="00B663DA">
        <w:t>documentation of diagnostic reports</w:t>
      </w:r>
    </w:p>
    <w:p w:rsidR="00000000" w:rsidRPr="00B663DA" w:rsidP="00B663DA">
      <w:pPr>
        <w:pStyle w:val="ListBullet"/>
      </w:pPr>
      <w:r w:rsidRPr="00B663DA">
        <w:t>emergency plant pest (EPP)</w:t>
      </w:r>
    </w:p>
    <w:p w:rsidR="00000000" w:rsidRPr="00B663DA" w:rsidP="00B663DA">
      <w:pPr>
        <w:pStyle w:val="ListBullet"/>
      </w:pPr>
      <w:r w:rsidRPr="00B663DA">
        <w:t>PLANTPLAN guidelines.</w:t>
      </w:r>
    </w:p>
    <w:p w:rsidR="00000000" w:rsidRPr="00B663DA" w:rsidP="00B663DA">
      <w:pPr>
        <w:pStyle w:val="AllowPageBreak"/>
      </w:pPr>
    </w:p>
    <w:p w:rsidR="00000000" w:rsidRPr="00B663DA" w:rsidP="00B663DA">
      <w:pPr>
        <w:pStyle w:val="Heading1"/>
      </w:pPr>
      <w:bookmarkStart w:id="4" w:name="O_877711"/>
      <w:bookmarkEnd w:id="4"/>
      <w:r w:rsidRPr="00B663DA">
        <w:t>Assessment Conditions</w:t>
      </w:r>
    </w:p>
    <w:p w:rsidR="00000000" w:rsidRPr="00B663DA" w:rsidP="00B207A7">
      <w:pPr>
        <w:pStyle w:val="BodyText"/>
      </w:pPr>
      <w:r w:rsidRPr="00B663DA">
        <w:t xml:space="preserve">It </w:t>
      </w:r>
      <w:r w:rsidRPr="00B663DA">
        <w:t>is an industry requirement that competency in this unit requires the:</w:t>
      </w:r>
    </w:p>
    <w:p w:rsidR="00000000" w:rsidRPr="00B663DA" w:rsidP="00B663DA">
      <w:pPr>
        <w:pStyle w:val="ListBullet"/>
      </w:pPr>
      <w:r w:rsidRPr="00B663DA">
        <w:t>field identification of a minimum of ten (10) wood decay fungi to generic level</w:t>
      </w:r>
    </w:p>
    <w:p w:rsidR="00000000" w:rsidRPr="00B663DA" w:rsidP="00B663DA">
      <w:pPr>
        <w:pStyle w:val="ListBullet"/>
      </w:pPr>
      <w:r w:rsidRPr="00B663DA">
        <w:t>field identification of a minimum of ten (10) non-pathogenic fungi to generic level</w:t>
      </w:r>
    </w:p>
    <w:p w:rsidR="00000000" w:rsidRPr="00B663DA" w:rsidP="00B663DA">
      <w:pPr>
        <w:pStyle w:val="ListBullet"/>
      </w:pPr>
      <w:r w:rsidRPr="00B663DA">
        <w:t>analysis of the lifecycle, biology, ecology and effects of a minimum of ten (10) saprophytic wood decay fungi species</w:t>
      </w:r>
    </w:p>
    <w:p w:rsidR="00000000" w:rsidRPr="00B663DA" w:rsidP="00B663DA">
      <w:pPr>
        <w:pStyle w:val="ListBullet"/>
      </w:pPr>
      <w:r w:rsidRPr="00B663DA">
        <w:t xml:space="preserve">analysis of the lifecycle, biology, ecology and effects of a minimum of ten (10) pathogenic wood decay fungi species </w:t>
      </w:r>
    </w:p>
    <w:p w:rsidR="00000000" w:rsidRPr="00B663DA" w:rsidP="00B663DA">
      <w:pPr>
        <w:pStyle w:val="ListBullet"/>
      </w:pPr>
      <w:r w:rsidRPr="00B663DA">
        <w:t>laboratory identific</w:t>
      </w:r>
      <w:r w:rsidRPr="00B663DA">
        <w:t>ation of a minimum of five (5) wood decay fungi to generic level.</w:t>
      </w:r>
    </w:p>
    <w:p w:rsidR="00000000" w:rsidRPr="00B663DA" w:rsidP="00B207A7">
      <w:pPr>
        <w:pStyle w:val="BodyText"/>
      </w:pPr>
      <w:r w:rsidRPr="00B663DA">
        <w:t>Assessment must be demonstrated consistently over time in a suitable range of contexts and have a productivity-based outcome. No single assessment event or report is sufficient to achieve co</w:t>
      </w:r>
      <w:r w:rsidRPr="00B663DA">
        <w:t>mpetency in this unit.</w:t>
      </w:r>
    </w:p>
    <w:p w:rsidR="00000000" w:rsidRPr="00B663DA" w:rsidP="00B207A7">
      <w:pPr>
        <w:pStyle w:val="BodyText"/>
      </w:pPr>
      <w:r w:rsidRPr="00B663DA">
        <w:t>Assessment may be conducted in a simulated or real work environment, however determination of competency requires the application of work practices under work conditions.</w:t>
      </w:r>
    </w:p>
    <w:p w:rsidR="00000000" w:rsidRPr="00B663DA" w:rsidP="00B207A7">
      <w:pPr>
        <w:pStyle w:val="BodyText"/>
      </w:pPr>
      <w:r w:rsidRPr="00B663DA">
        <w:t>The mandatory equipment and materials used to gather evidenc</w:t>
      </w:r>
      <w:r w:rsidRPr="00B663DA">
        <w:t>e for assessment include:</w:t>
      </w:r>
    </w:p>
    <w:p w:rsidR="00000000" w:rsidRPr="00B663DA" w:rsidP="00B663DA">
      <w:pPr>
        <w:pStyle w:val="ListBullet"/>
      </w:pPr>
      <w:r w:rsidRPr="00B663DA">
        <w:t>equipment:</w:t>
      </w:r>
    </w:p>
    <w:p w:rsidR="00000000" w:rsidRPr="00B663DA" w:rsidP="00B663DA">
      <w:pPr>
        <w:pStyle w:val="ListBullet2"/>
      </w:pPr>
      <w:r w:rsidRPr="00B663DA">
        <w:t xml:space="preserve">computer </w:t>
      </w:r>
    </w:p>
    <w:p w:rsidR="00000000" w:rsidRPr="00B663DA" w:rsidP="00B663DA">
      <w:pPr>
        <w:pStyle w:val="ListBullet2"/>
      </w:pPr>
      <w:r w:rsidRPr="00B663DA">
        <w:t>word processing software</w:t>
      </w:r>
    </w:p>
    <w:p w:rsidR="00000000" w:rsidRPr="00B663DA" w:rsidP="00B663DA">
      <w:pPr>
        <w:pStyle w:val="ListBullet2"/>
      </w:pPr>
      <w:r w:rsidRPr="00B663DA">
        <w:t>digital camera with macro</w:t>
      </w:r>
    </w:p>
    <w:p w:rsidR="00000000" w:rsidRPr="00B663DA" w:rsidP="00B663DA">
      <w:pPr>
        <w:pStyle w:val="ListBullet2"/>
      </w:pPr>
      <w:r w:rsidRPr="00B663DA">
        <w:t>diagnostic tools including sounding hammer, trowel, probe, cordless drill</w:t>
      </w:r>
    </w:p>
    <w:p w:rsidR="00000000" w:rsidRPr="00B663DA" w:rsidP="00B663DA">
      <w:pPr>
        <w:pStyle w:val="ListBullet2"/>
      </w:pPr>
      <w:r w:rsidRPr="00B663DA">
        <w:t>soil testing equipment</w:t>
      </w:r>
    </w:p>
    <w:p w:rsidR="00000000" w:rsidRPr="00B663DA" w:rsidP="00B663DA">
      <w:pPr>
        <w:pStyle w:val="ListBullet2"/>
      </w:pPr>
      <w:r w:rsidRPr="00B663DA">
        <w:t>digital dissection microscope 10 -100x</w:t>
      </w:r>
    </w:p>
    <w:p w:rsidR="00000000" w:rsidRPr="00B663DA" w:rsidP="00B663DA">
      <w:pPr>
        <w:pStyle w:val="ListBullet2"/>
      </w:pPr>
      <w:r w:rsidRPr="00B663DA">
        <w:t>compound microscope</w:t>
      </w:r>
    </w:p>
    <w:p w:rsidR="00000000" w:rsidRPr="00B663DA" w:rsidP="00B663DA">
      <w:pPr>
        <w:pStyle w:val="ListBullet2"/>
      </w:pPr>
      <w:r w:rsidRPr="00B663DA">
        <w:t>microtome, staining and slide mounting equipment</w:t>
      </w:r>
    </w:p>
    <w:p w:rsidR="00000000" w:rsidRPr="00B663DA" w:rsidP="00B663DA">
      <w:pPr>
        <w:pStyle w:val="ListBullet2"/>
      </w:pPr>
      <w:r w:rsidRPr="00B663DA">
        <w:t>slides and coverslips</w:t>
      </w:r>
    </w:p>
    <w:p w:rsidR="00000000" w:rsidRPr="00B663DA" w:rsidP="00B663DA">
      <w:pPr>
        <w:pStyle w:val="ListBullet2"/>
      </w:pPr>
      <w:r w:rsidRPr="00B663DA">
        <w:t xml:space="preserve">temporary/permanent mountant </w:t>
      </w:r>
    </w:p>
    <w:p w:rsidR="00000000" w:rsidRPr="00B663DA" w:rsidP="00B663DA">
      <w:pPr>
        <w:pStyle w:val="ListBullet2"/>
      </w:pPr>
      <w:r w:rsidRPr="00B663DA">
        <w:t>histochemical stains</w:t>
      </w:r>
    </w:p>
    <w:p w:rsidR="00000000" w:rsidRPr="00B663DA" w:rsidP="00B663DA">
      <w:pPr>
        <w:pStyle w:val="ListBullet2"/>
      </w:pPr>
      <w:r w:rsidRPr="00B663DA">
        <w:t>laboratory equipment to perform aseptic techniques in a sterile environment</w:t>
      </w:r>
    </w:p>
    <w:p w:rsidR="00000000" w:rsidRPr="00B663DA" w:rsidP="00B663DA">
      <w:pPr>
        <w:pStyle w:val="ListBullet"/>
      </w:pPr>
      <w:r w:rsidRPr="00B663DA">
        <w:t>materials:</w:t>
      </w:r>
    </w:p>
    <w:p w:rsidR="00000000" w:rsidRPr="00B663DA" w:rsidP="00B663DA">
      <w:pPr>
        <w:pStyle w:val="ListBullet2"/>
      </w:pPr>
      <w:r w:rsidRPr="00B663DA">
        <w:t>emergency plant pest diagnostic report</w:t>
      </w:r>
    </w:p>
    <w:p w:rsidR="00000000" w:rsidRPr="00B663DA" w:rsidP="00B207A7">
      <w:pPr>
        <w:pStyle w:val="BodyText"/>
      </w:pPr>
      <w:r w:rsidRPr="00B663DA">
        <w:t>Assess</w:t>
      </w:r>
      <w:r w:rsidRPr="00B663DA">
        <w:t>ors must satisfy current standards for RTOs in the assessment of arboriculture units of competency.</w:t>
      </w:r>
    </w:p>
    <w:p w:rsidR="00000000" w:rsidRPr="00B663DA" w:rsidP="00B207A7">
      <w:pPr>
        <w:pStyle w:val="BodyText"/>
      </w:pPr>
      <w:r w:rsidRPr="00B663DA">
        <w:t xml:space="preserve">Assessment must be conducted only by persons who have: </w:t>
      </w:r>
    </w:p>
    <w:p w:rsidR="00000000" w:rsidRPr="00B663DA" w:rsidP="00B663DA">
      <w:pPr>
        <w:pStyle w:val="ListBullet"/>
      </w:pPr>
      <w:r w:rsidRPr="00B663DA">
        <w:t>mycology vocational competencies at least to the level being assessed</w:t>
      </w:r>
    </w:p>
    <w:p w:rsidR="00000000" w:rsidRPr="00B663DA" w:rsidP="00B663DA">
      <w:pPr>
        <w:pStyle w:val="ListBullet"/>
      </w:pPr>
      <w:r w:rsidRPr="00B663DA">
        <w:t>current mycology skills dire</w:t>
      </w:r>
      <w:r w:rsidRPr="00B663DA">
        <w:t>ctly relevant to the unit of competency being assessed</w:t>
      </w:r>
    </w:p>
    <w:p w:rsidR="00000000" w:rsidRPr="00B663DA" w:rsidP="00B663DA">
      <w:pPr>
        <w:pStyle w:val="AllowPageBreak"/>
      </w:pPr>
    </w:p>
    <w:p w:rsidR="00000000" w:rsidRPr="00B663DA" w:rsidP="00B663DA">
      <w:pPr>
        <w:pStyle w:val="Heading1"/>
      </w:pPr>
      <w:bookmarkStart w:id="5" w:name="O_877714"/>
      <w:bookmarkEnd w:id="5"/>
      <w:r w:rsidRPr="00B663DA">
        <w:t>Links</w:t>
      </w:r>
    </w:p>
    <w:p w:rsidR="00000000" w:rsidRPr="00B663DA" w:rsidP="00B207A7">
      <w:pPr>
        <w:pStyle w:val="BodyText"/>
      </w:pPr>
      <w:r w:rsidRPr="00B663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16D1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663DA" w:rsidP="00B663DA"/>
    <w:sectPr w:rsidSect="00B663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3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3DA" w:rsidRPr="00B207A7" w:rsidP="00B207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3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7A7" w:rsidP="00B663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07A7" w:rsidP="00B663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207A7" w:rsidP="00B663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3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7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63DA" w:rsidRPr="00B207A7" w:rsidP="00B207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3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7A7" w:rsidRPr="002D2AF8" w:rsidP="00B663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AHCARB702 Analyse mycology cultures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B207A7" w:rsidP="00B663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7866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8421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DC3A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3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63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63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63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63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63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63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63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63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63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63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63DA"/>
  </w:style>
  <w:style w:type="character" w:customStyle="1" w:styleId="Heading1Char">
    <w:name w:val="Heading 1 Char"/>
    <w:basedOn w:val="DefaultParagraphFont"/>
    <w:link w:val="Heading1"/>
    <w:rsid w:val="00B663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63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63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63D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63D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63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663D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663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63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63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63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63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63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63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63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63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63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63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63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63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63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63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63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63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63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63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63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63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63DA"/>
    <w:rPr>
      <w:b/>
      <w:spacing w:val="0"/>
    </w:rPr>
  </w:style>
  <w:style w:type="paragraph" w:customStyle="1" w:styleId="SuperTitle">
    <w:name w:val="SuperTitle"/>
    <w:basedOn w:val="Title"/>
    <w:rsid w:val="00B663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63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63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63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63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63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63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63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63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63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63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63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63DA"/>
    <w:rPr>
      <w:i/>
    </w:rPr>
  </w:style>
  <w:style w:type="paragraph" w:styleId="Caption">
    <w:name w:val="caption"/>
    <w:basedOn w:val="BodyText"/>
    <w:next w:val="Normal"/>
    <w:qFormat/>
    <w:rsid w:val="00B663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63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63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63DA"/>
  </w:style>
  <w:style w:type="paragraph" w:styleId="TableofFigures">
    <w:name w:val="table of figures"/>
    <w:basedOn w:val="Normal"/>
    <w:next w:val="Normal"/>
    <w:semiHidden/>
    <w:rsid w:val="00B663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63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63DA"/>
    <w:rPr>
      <w:rFonts w:ascii="Wingdings" w:hAnsi="Wingdings"/>
    </w:rPr>
  </w:style>
  <w:style w:type="character" w:customStyle="1" w:styleId="HotSpot">
    <w:name w:val="HotSpot"/>
    <w:rsid w:val="00B663DA"/>
    <w:rPr>
      <w:color w:val="0033CC"/>
      <w:u w:val="none"/>
    </w:rPr>
  </w:style>
  <w:style w:type="paragraph" w:customStyle="1" w:styleId="BodyTextRight">
    <w:name w:val="Body Text Right"/>
    <w:basedOn w:val="BodyText"/>
    <w:rsid w:val="00B663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63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63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63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63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63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63DA"/>
    <w:rPr>
      <w:sz w:val="32"/>
    </w:rPr>
  </w:style>
  <w:style w:type="paragraph" w:customStyle="1" w:styleId="HeadingProcedure">
    <w:name w:val="Heading Procedure"/>
    <w:basedOn w:val="HeadingBase"/>
    <w:next w:val="Normal"/>
    <w:rsid w:val="00B663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63DA"/>
    <w:pPr>
      <w:spacing w:before="60" w:after="60"/>
    </w:pPr>
  </w:style>
  <w:style w:type="paragraph" w:styleId="ListContinue">
    <w:name w:val="List Continue"/>
    <w:basedOn w:val="List"/>
    <w:rsid w:val="00B663DA"/>
    <w:pPr>
      <w:ind w:firstLine="0"/>
    </w:pPr>
  </w:style>
  <w:style w:type="paragraph" w:customStyle="1" w:styleId="ListNote">
    <w:name w:val="List Note"/>
    <w:basedOn w:val="List"/>
    <w:rsid w:val="00B663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63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63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63DA"/>
    <w:rPr>
      <w:rFonts w:ascii="Courier New" w:hAnsi="Courier New"/>
    </w:rPr>
  </w:style>
  <w:style w:type="paragraph" w:customStyle="1" w:styleId="NoteBullet">
    <w:name w:val="Note Bullet"/>
    <w:basedOn w:val="Note"/>
    <w:rsid w:val="00B663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63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63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63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63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63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63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63DA"/>
    <w:rPr>
      <w:b/>
      <w:smallCaps/>
    </w:rPr>
  </w:style>
  <w:style w:type="paragraph" w:customStyle="1" w:styleId="TableListNumber">
    <w:name w:val="Table List Number"/>
    <w:basedOn w:val="ListNumber"/>
    <w:rsid w:val="00B663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63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63DA"/>
    <w:pPr>
      <w:numPr>
        <w:numId w:val="9"/>
      </w:numPr>
    </w:pPr>
  </w:style>
  <w:style w:type="paragraph" w:customStyle="1" w:styleId="ListAlpha2">
    <w:name w:val="List Alpha 2"/>
    <w:basedOn w:val="List2"/>
    <w:rsid w:val="00B663DA"/>
    <w:pPr>
      <w:numPr>
        <w:numId w:val="8"/>
      </w:numPr>
    </w:pPr>
  </w:style>
  <w:style w:type="paragraph" w:styleId="List2">
    <w:name w:val="List 2"/>
    <w:basedOn w:val="BodyText"/>
    <w:rsid w:val="00B663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63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63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63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63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63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63DA"/>
    <w:pPr>
      <w:numPr>
        <w:numId w:val="4"/>
      </w:numPr>
    </w:pPr>
  </w:style>
  <w:style w:type="paragraph" w:styleId="ListContinue2">
    <w:name w:val="List Continue 2"/>
    <w:basedOn w:val="List2"/>
    <w:rsid w:val="00B663DA"/>
    <w:pPr>
      <w:ind w:firstLine="0"/>
    </w:pPr>
  </w:style>
  <w:style w:type="paragraph" w:styleId="ListContinue3">
    <w:name w:val="List Continue 3"/>
    <w:basedOn w:val="List3"/>
    <w:rsid w:val="00B663DA"/>
    <w:pPr>
      <w:ind w:left="1021" w:firstLine="0"/>
    </w:pPr>
  </w:style>
  <w:style w:type="paragraph" w:styleId="ListContinue4">
    <w:name w:val="List Continue 4"/>
    <w:basedOn w:val="List4"/>
    <w:rsid w:val="00B663DA"/>
    <w:pPr>
      <w:ind w:firstLine="0"/>
    </w:pPr>
  </w:style>
  <w:style w:type="paragraph" w:styleId="ListContinue5">
    <w:name w:val="List Continue 5"/>
    <w:basedOn w:val="List5"/>
    <w:rsid w:val="00B663DA"/>
    <w:pPr>
      <w:ind w:firstLine="0"/>
    </w:pPr>
  </w:style>
  <w:style w:type="paragraph" w:styleId="ListNumber3">
    <w:name w:val="List Number 3"/>
    <w:basedOn w:val="List3"/>
    <w:rsid w:val="00B663DA"/>
    <w:pPr>
      <w:numPr>
        <w:numId w:val="5"/>
      </w:numPr>
    </w:pPr>
  </w:style>
  <w:style w:type="paragraph" w:styleId="ListNumber4">
    <w:name w:val="List Number 4"/>
    <w:basedOn w:val="List4"/>
    <w:rsid w:val="00B663DA"/>
    <w:pPr>
      <w:numPr>
        <w:numId w:val="6"/>
      </w:numPr>
    </w:pPr>
  </w:style>
  <w:style w:type="paragraph" w:styleId="ListNumber5">
    <w:name w:val="List Number 5"/>
    <w:basedOn w:val="List5"/>
    <w:rsid w:val="00B663DA"/>
    <w:pPr>
      <w:numPr>
        <w:numId w:val="7"/>
      </w:numPr>
    </w:pPr>
  </w:style>
  <w:style w:type="paragraph" w:styleId="BlockText">
    <w:name w:val="Block Text"/>
    <w:basedOn w:val="Normal"/>
    <w:rsid w:val="00B663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63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63DA"/>
    <w:rPr>
      <w:sz w:val="16"/>
      <w:vertAlign w:val="superscript"/>
    </w:rPr>
  </w:style>
  <w:style w:type="character" w:customStyle="1" w:styleId="Symbols">
    <w:name w:val="Symbols"/>
    <w:basedOn w:val="DefaultParagraphFont"/>
    <w:rsid w:val="00B663DA"/>
    <w:rPr>
      <w:rFonts w:ascii="Symbol" w:hAnsi="Symbol"/>
    </w:rPr>
  </w:style>
  <w:style w:type="character" w:customStyle="1" w:styleId="MenuOptions">
    <w:name w:val="Menu Options"/>
    <w:basedOn w:val="DefaultParagraphFont"/>
    <w:rsid w:val="00B663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63DA"/>
    <w:rPr>
      <w:b/>
    </w:rPr>
  </w:style>
  <w:style w:type="character" w:customStyle="1" w:styleId="Underlined">
    <w:name w:val="Underlined"/>
    <w:basedOn w:val="DefaultParagraphFont"/>
    <w:rsid w:val="00B663DA"/>
    <w:rPr>
      <w:u w:val="single"/>
    </w:rPr>
  </w:style>
  <w:style w:type="paragraph" w:customStyle="1" w:styleId="TableBodyTextRight">
    <w:name w:val="Table Body Text Right"/>
    <w:basedOn w:val="TableBodyText"/>
    <w:rsid w:val="00B663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63DA"/>
    <w:rPr>
      <w:sz w:val="18"/>
    </w:rPr>
  </w:style>
  <w:style w:type="paragraph" w:customStyle="1" w:styleId="BodySmallRight">
    <w:name w:val="Body Small Right"/>
    <w:basedOn w:val="BodyTextRight"/>
    <w:rsid w:val="00B663DA"/>
    <w:rPr>
      <w:sz w:val="18"/>
      <w:szCs w:val="18"/>
    </w:rPr>
  </w:style>
  <w:style w:type="paragraph" w:customStyle="1" w:styleId="MarginEdition">
    <w:name w:val="Margin Edition"/>
    <w:basedOn w:val="MarginNote"/>
    <w:rsid w:val="00B663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63DA"/>
    <w:rPr>
      <w:sz w:val="2"/>
      <w:szCs w:val="2"/>
    </w:rPr>
  </w:style>
  <w:style w:type="character" w:customStyle="1" w:styleId="Small">
    <w:name w:val="Small"/>
    <w:basedOn w:val="DefaultParagraphFont"/>
    <w:rsid w:val="00B663DA"/>
    <w:rPr>
      <w:sz w:val="16"/>
    </w:rPr>
  </w:style>
  <w:style w:type="paragraph" w:customStyle="1" w:styleId="WideTable">
    <w:name w:val="Wide Table"/>
    <w:basedOn w:val="Normal"/>
    <w:rsid w:val="00B663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63DA"/>
  </w:style>
  <w:style w:type="paragraph" w:styleId="Quote">
    <w:name w:val="Quote"/>
    <w:basedOn w:val="Heading1"/>
    <w:link w:val="QuoteChar"/>
    <w:qFormat/>
    <w:rsid w:val="00B663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63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63DA"/>
    <w:pPr>
      <w:pageBreakBefore/>
    </w:pPr>
  </w:style>
  <w:style w:type="paragraph" w:customStyle="1" w:styleId="Border">
    <w:name w:val="Border"/>
    <w:basedOn w:val="Normal"/>
    <w:qFormat/>
    <w:rsid w:val="00B663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63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3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3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63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63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63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63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63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63DA"/>
    <w:rPr>
      <w:u w:val="single"/>
    </w:rPr>
  </w:style>
  <w:style w:type="character" w:customStyle="1" w:styleId="BoldandItalics">
    <w:name w:val="Bold and Italics"/>
    <w:qFormat/>
    <w:rsid w:val="00B663DA"/>
    <w:rPr>
      <w:b/>
      <w:i/>
      <w:u w:val="none"/>
    </w:rPr>
  </w:style>
  <w:style w:type="paragraph" w:styleId="BalloonText">
    <w:name w:val="Balloon Text"/>
    <w:basedOn w:val="Normal"/>
    <w:link w:val="BalloonTextChar"/>
    <w:rsid w:val="00B663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63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63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63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63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63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63DA"/>
    <w:pPr>
      <w:spacing w:before="0" w:after="0"/>
    </w:pPr>
  </w:style>
  <w:style w:type="paragraph" w:customStyle="1" w:styleId="BodyTextBold">
    <w:name w:val="Body Text Bold"/>
    <w:basedOn w:val="BodyText"/>
    <w:qFormat/>
    <w:rsid w:val="00B663DA"/>
    <w:rPr>
      <w:b/>
    </w:rPr>
  </w:style>
  <w:style w:type="character" w:styleId="Hyperlink">
    <w:name w:val="Hyperlink"/>
    <w:basedOn w:val="DefaultParagraphFont"/>
    <w:uiPriority w:val="99"/>
    <w:unhideWhenUsed/>
    <w:rsid w:val="00B207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1187</Words>
  <Characters>7674</Characters>
  <Application>Microsoft Office Word</Application>
  <DocSecurity>0</DocSecurity>
  <Lines>174</Lines>
  <Paragraphs>136</Paragraphs>
  <ScaleCrop>false</ScaleCrop>
  <Company>Author-it Software Corporation Ltd.</Company>
  <LinksUpToDate>false</LinksUpToDate>
  <CharactersWithSpaces>8725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AHCARB702 Analyse mycology cultures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2019-10-21T11:24:00Z</dcterms:created>
  <dcterms:modified xsi:type="dcterms:W3CDTF">2019-10-21T11:24:00Z</dcterms:modified>
</cp:coreProperties>
</file>