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07C1" w:rsidP="00D20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AHCAGB605 Manage business capital</w:t>
      </w:r>
      <w:r>
        <w:fldChar w:fldCharType="end"/>
      </w:r>
    </w:p>
    <w:p w:rsidR="00D207C1" w:rsidP="00D207C1">
      <w:pPr>
        <w:pStyle w:val="Version"/>
        <w:sectPr w:rsidSect="00F050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5001" w:rsidP="00F05001">
      <w:pPr>
        <w:pStyle w:val="SuperHeading"/>
      </w:pPr>
      <w:r w:rsidRPr="00F05001">
        <w:t>AHCAGB605 Manage business capital</w:t>
      </w:r>
    </w:p>
    <w:p w:rsidR="00000000" w:rsidRPr="00F05001" w:rsidP="00F05001">
      <w:pPr>
        <w:pStyle w:val="Heading1"/>
      </w:pPr>
      <w:bookmarkStart w:id="1" w:name="O_854770"/>
      <w:bookmarkEnd w:id="1"/>
      <w:r w:rsidRPr="00F05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Comment</w:t>
            </w:r>
          </w:p>
        </w:tc>
      </w:tr>
      <w:tr w:rsidTr="00F0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BodyText"/>
            </w:pPr>
            <w:r w:rsidRPr="00F05001">
              <w:t>Initial release</w:t>
            </w:r>
          </w:p>
        </w:tc>
      </w:tr>
    </w:tbl>
    <w:p w:rsidR="00000000" w:rsidRPr="00F05001" w:rsidP="00F05001">
      <w:pPr>
        <w:pStyle w:val="BodyText"/>
      </w:pPr>
    </w:p>
    <w:p w:rsidR="00000000" w:rsidRPr="00F05001" w:rsidP="00F05001">
      <w:pPr>
        <w:pStyle w:val="AllowPageBreak"/>
      </w:pPr>
    </w:p>
    <w:p w:rsidR="00000000" w:rsidRPr="00F05001" w:rsidP="00F05001">
      <w:pPr>
        <w:pStyle w:val="Heading1"/>
      </w:pPr>
      <w:bookmarkStart w:id="2" w:name="O_854771"/>
      <w:bookmarkEnd w:id="2"/>
      <w:r w:rsidRPr="00F05001">
        <w:t>Application</w:t>
      </w:r>
    </w:p>
    <w:p w:rsidR="00000000" w:rsidRPr="00F05001" w:rsidP="00D207C1">
      <w:pPr>
        <w:pStyle w:val="BodyText"/>
      </w:pPr>
      <w:r w:rsidRPr="00F05001">
        <w:t>This unit of competency describes the skills and knowledge required to manage the business capital of the business.</w:t>
      </w:r>
    </w:p>
    <w:p w:rsidR="00000000" w:rsidRPr="00F05001" w:rsidP="00D207C1">
      <w:pPr>
        <w:pStyle w:val="BodyText"/>
      </w:pPr>
      <w:r w:rsidRPr="00F05001">
        <w:t>All work must be carried out to comply with workplace procedures, work health and safety legislation and codes, and sustainability practices.</w:t>
      </w:r>
    </w:p>
    <w:p w:rsidR="00000000" w:rsidRPr="00F05001" w:rsidP="00D207C1">
      <w:pPr>
        <w:pStyle w:val="BodyText"/>
      </w:pPr>
      <w:r w:rsidRPr="00F05001">
        <w:t>This unit applies to individuals who take personal responsibility and exercise autonomy in undertaking complex wo</w:t>
      </w:r>
      <w:r w:rsidRPr="00F05001">
        <w:t>rk. They must analyse information and exercise judgement to complete a range of advanced skilled activities. They work in contexts that are subject to change and adapt a range of fundamental principles accordingly.</w:t>
      </w:r>
    </w:p>
    <w:p w:rsidR="00000000" w:rsidRPr="00F05001" w:rsidP="00D207C1">
      <w:pPr>
        <w:pStyle w:val="BodyText"/>
      </w:pPr>
      <w:r w:rsidRPr="00F05001">
        <w:t>No occupational licensing, legislative o</w:t>
      </w:r>
      <w:r w:rsidRPr="00F05001">
        <w:t>r certification requirements are known to apply to this unit at the time of publication.</w:t>
      </w:r>
    </w:p>
    <w:p w:rsidR="00000000" w:rsidRPr="00F05001" w:rsidP="00F05001">
      <w:pPr>
        <w:pStyle w:val="Heading1"/>
      </w:pPr>
      <w:bookmarkStart w:id="3" w:name="O_854772"/>
      <w:bookmarkEnd w:id="3"/>
      <w:r w:rsidRPr="00F05001">
        <w:t>Pre-requisite Unit</w:t>
      </w:r>
    </w:p>
    <w:p w:rsidR="00000000" w:rsidRPr="00F05001" w:rsidP="00D207C1">
      <w:pPr>
        <w:pStyle w:val="BodyText"/>
      </w:pPr>
      <w:r w:rsidRPr="00F05001">
        <w:t>Nil.</w:t>
      </w:r>
    </w:p>
    <w:p w:rsidR="00000000" w:rsidRPr="00F05001" w:rsidP="00F05001">
      <w:pPr>
        <w:pStyle w:val="Heading1"/>
      </w:pPr>
      <w:bookmarkStart w:id="4" w:name="O_854774"/>
      <w:bookmarkEnd w:id="4"/>
      <w:r w:rsidRPr="00F05001">
        <w:t>Unit Sector</w:t>
      </w:r>
    </w:p>
    <w:p w:rsidR="00000000" w:rsidRPr="00F05001" w:rsidP="00D207C1">
      <w:pPr>
        <w:pStyle w:val="BodyText"/>
      </w:pPr>
      <w:r w:rsidRPr="00F05001">
        <w:t>Agribusiness (AGB)</w:t>
      </w:r>
    </w:p>
    <w:p w:rsidR="00000000" w:rsidRPr="00F05001" w:rsidP="00F05001">
      <w:pPr>
        <w:pStyle w:val="Heading1"/>
      </w:pPr>
      <w:bookmarkStart w:id="5" w:name="O_854775"/>
      <w:bookmarkEnd w:id="5"/>
      <w:r w:rsidRPr="00F05001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Performance criteri</w:t>
            </w:r>
            <w:r w:rsidRPr="00F05001">
              <w:t>a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Performance criteria describe the performance needed to demonstrate achievement of the element.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List"/>
              <w:rPr>
                <w:lang w:val="en-NZ"/>
              </w:rPr>
            </w:pPr>
            <w:r w:rsidRPr="00F05001">
              <w:t>1.</w:t>
            </w:r>
            <w:r w:rsidRPr="00F05001">
              <w:tab/>
              <w:t>Assess the capital needs of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List"/>
            </w:pPr>
            <w:r w:rsidRPr="00F05001">
              <w:t>1.1</w:t>
            </w:r>
            <w:r w:rsidRPr="00F05001">
              <w:tab/>
              <w:t>Determine working capital and capital requirements for development</w:t>
            </w:r>
          </w:p>
          <w:p w:rsidR="00000000" w:rsidP="00F05001">
            <w:pPr>
              <w:pStyle w:val="List"/>
              <w:rPr>
                <w:lang w:val="en-NZ"/>
              </w:rPr>
            </w:pPr>
            <w:r w:rsidRPr="00F05001">
              <w:t>1.2</w:t>
            </w:r>
            <w:r w:rsidRPr="00F05001">
              <w:tab/>
              <w:t>Determine return on capital or opportunity cost of development capital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List"/>
              <w:rPr>
                <w:lang w:val="en-NZ"/>
              </w:rPr>
            </w:pPr>
            <w:r w:rsidRPr="00F05001">
              <w:t>2.</w:t>
            </w:r>
            <w:r w:rsidRPr="00F05001">
              <w:tab/>
              <w:t>Assess appropriate equity levels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List"/>
            </w:pPr>
            <w:r w:rsidRPr="00F05001">
              <w:t>2.1</w:t>
            </w:r>
            <w:r w:rsidRPr="00F05001">
              <w:tab/>
              <w:t>Assess risks associated with the business</w:t>
            </w:r>
          </w:p>
          <w:p w:rsidR="00000000" w:rsidRPr="00F05001" w:rsidP="00F05001">
            <w:pPr>
              <w:pStyle w:val="List"/>
            </w:pPr>
            <w:r w:rsidRPr="00F05001">
              <w:t>2.2</w:t>
            </w:r>
            <w:r w:rsidRPr="00F05001">
              <w:tab/>
              <w:t>Identify personal and business risk preferences</w:t>
            </w:r>
          </w:p>
          <w:p w:rsidR="00000000" w:rsidP="00F05001">
            <w:pPr>
              <w:pStyle w:val="List"/>
              <w:rPr>
                <w:lang w:val="en-NZ"/>
              </w:rPr>
            </w:pPr>
            <w:r w:rsidRPr="00F05001">
              <w:t>2.3</w:t>
            </w:r>
            <w:r w:rsidRPr="00F05001">
              <w:tab/>
            </w:r>
            <w:r w:rsidRPr="00F05001">
              <w:t>Analyse equity levels in comparable enterprises using benchmark data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List"/>
              <w:rPr>
                <w:lang w:val="en-NZ"/>
              </w:rPr>
            </w:pPr>
            <w:r w:rsidRPr="00F05001">
              <w:t>3.</w:t>
            </w:r>
            <w:r w:rsidRPr="00F05001">
              <w:tab/>
              <w:t>Establish and maintain appropriate financing arrangements for the business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List"/>
            </w:pPr>
            <w:r w:rsidRPr="00F05001">
              <w:t>3.1</w:t>
            </w:r>
            <w:r w:rsidRPr="00F05001">
              <w:tab/>
              <w:t xml:space="preserve">Determine capacity to service debt and meet liabilities </w:t>
            </w:r>
          </w:p>
          <w:p w:rsidR="00000000" w:rsidRPr="00F05001" w:rsidP="00F05001">
            <w:pPr>
              <w:pStyle w:val="List"/>
            </w:pPr>
            <w:r w:rsidRPr="00F05001">
              <w:t>3.2</w:t>
            </w:r>
            <w:r w:rsidRPr="00F05001">
              <w:tab/>
              <w:t>Sources of funds are identified and terms a</w:t>
            </w:r>
            <w:r w:rsidRPr="00F05001">
              <w:t>nd conditions compared and evaluated</w:t>
            </w:r>
          </w:p>
          <w:p w:rsidR="00000000" w:rsidRPr="00F05001" w:rsidP="00F05001">
            <w:pPr>
              <w:pStyle w:val="List"/>
            </w:pPr>
            <w:r w:rsidRPr="00F05001">
              <w:t>3.3</w:t>
            </w:r>
            <w:r w:rsidRPr="00F05001">
              <w:tab/>
              <w:t>Conduct negotiations to ensure the establishment of the most favourable terms and conditions</w:t>
            </w:r>
          </w:p>
          <w:p w:rsidR="00000000" w:rsidRPr="00F05001" w:rsidP="00F05001">
            <w:pPr>
              <w:pStyle w:val="List"/>
            </w:pPr>
            <w:r w:rsidRPr="00F05001">
              <w:t>3.4</w:t>
            </w:r>
            <w:r w:rsidRPr="00F05001">
              <w:tab/>
              <w:t>Source loan funds and check agreements</w:t>
            </w:r>
          </w:p>
          <w:p w:rsidR="00000000" w:rsidRPr="00F05001" w:rsidP="00F05001">
            <w:pPr>
              <w:pStyle w:val="List"/>
            </w:pPr>
            <w:r w:rsidRPr="00F05001">
              <w:t>3.5</w:t>
            </w:r>
            <w:r w:rsidRPr="00F05001">
              <w:tab/>
              <w:t>Monitor costs of finance to keep them within defined budget limits</w:t>
            </w:r>
          </w:p>
          <w:p w:rsidR="00000000" w:rsidRPr="00F05001" w:rsidP="00F05001">
            <w:pPr>
              <w:pStyle w:val="List"/>
            </w:pPr>
            <w:r w:rsidRPr="00F05001">
              <w:t>3.6</w:t>
            </w:r>
            <w:r w:rsidRPr="00F05001">
              <w:tab/>
              <w:t>Mana</w:t>
            </w:r>
            <w:r w:rsidRPr="00F05001">
              <w:t>ge relationships with finance providers</w:t>
            </w:r>
          </w:p>
          <w:p w:rsidR="00000000" w:rsidP="00F05001">
            <w:pPr>
              <w:pStyle w:val="List"/>
              <w:rPr>
                <w:lang w:val="en-NZ"/>
              </w:rPr>
            </w:pPr>
            <w:r w:rsidRPr="00F05001">
              <w:t>3.7</w:t>
            </w:r>
            <w:r w:rsidRPr="00F05001">
              <w:tab/>
              <w:t>Monitor the economic environment and assess implications for the business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List"/>
              <w:rPr>
                <w:lang w:val="en-NZ"/>
              </w:rPr>
            </w:pPr>
            <w:r w:rsidRPr="00F05001">
              <w:t>4.</w:t>
            </w:r>
            <w:r w:rsidRPr="00F05001">
              <w:tab/>
              <w:t>Monitor and review the mix of liabilities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List"/>
            </w:pPr>
            <w:r w:rsidRPr="00F05001">
              <w:t>4.1</w:t>
            </w:r>
            <w:r w:rsidRPr="00F05001">
              <w:tab/>
              <w:t>Conduct regular reviews of the mix of liabilities and the costs and determine the benefi</w:t>
            </w:r>
            <w:r w:rsidRPr="00F05001">
              <w:t>ts associated with reconfiguring loans</w:t>
            </w:r>
          </w:p>
          <w:p w:rsidR="00000000" w:rsidP="00F05001">
            <w:pPr>
              <w:pStyle w:val="List"/>
              <w:rPr>
                <w:lang w:val="en-NZ"/>
              </w:rPr>
            </w:pPr>
            <w:r w:rsidRPr="00F05001">
              <w:t>4.2</w:t>
            </w:r>
            <w:r w:rsidRPr="00F05001">
              <w:tab/>
              <w:t>Review and renegotiate loans as appropriate</w:t>
            </w:r>
          </w:p>
        </w:tc>
      </w:tr>
      <w:tr w:rsidTr="00D207C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7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List"/>
              <w:rPr>
                <w:lang w:val="en-NZ"/>
              </w:rPr>
            </w:pPr>
            <w:r w:rsidRPr="00F05001">
              <w:t>5.</w:t>
            </w:r>
            <w:r w:rsidRPr="00F05001">
              <w:tab/>
              <w:t>Monitor equity, return on equity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List"/>
            </w:pPr>
            <w:r w:rsidRPr="00F05001">
              <w:t>5.1</w:t>
            </w:r>
            <w:r w:rsidRPr="00F05001">
              <w:tab/>
              <w:t>Review valuations on assets and monitor the effect on equity</w:t>
            </w:r>
          </w:p>
          <w:p w:rsidR="00000000" w:rsidRPr="00F05001" w:rsidP="00F05001">
            <w:pPr>
              <w:pStyle w:val="List"/>
            </w:pPr>
            <w:r w:rsidRPr="00F05001">
              <w:t>5.2</w:t>
            </w:r>
            <w:r w:rsidRPr="00F05001">
              <w:tab/>
              <w:t>Calculate returns on assets and returns on equity and use to as</w:t>
            </w:r>
            <w:r w:rsidRPr="00F05001">
              <w:t>sist business performance</w:t>
            </w:r>
          </w:p>
        </w:tc>
      </w:tr>
    </w:tbl>
    <w:p w:rsidR="00000000" w:rsidRPr="00F05001" w:rsidP="00F05001">
      <w:pPr>
        <w:pStyle w:val="BodyText"/>
      </w:pPr>
    </w:p>
    <w:p w:rsidR="00000000" w:rsidRPr="00F05001" w:rsidP="00F05001">
      <w:pPr>
        <w:pStyle w:val="AllowPageBreak"/>
      </w:pPr>
    </w:p>
    <w:p w:rsidR="00000000" w:rsidRPr="00F05001" w:rsidP="00F05001">
      <w:pPr>
        <w:pStyle w:val="Heading1"/>
      </w:pPr>
      <w:bookmarkStart w:id="6" w:name="O_854776"/>
      <w:bookmarkEnd w:id="6"/>
      <w:r w:rsidRPr="00F05001">
        <w:t>Foundation Skills</w:t>
      </w:r>
    </w:p>
    <w:p w:rsidR="00000000" w:rsidRPr="00F05001" w:rsidP="00D207C1">
      <w:pPr>
        <w:pStyle w:val="BodyText"/>
      </w:pPr>
      <w:r w:rsidRPr="00F05001">
        <w:t>Foundation Skills essential to performance are explicit in the performance criteria of this unit of competency.</w:t>
      </w:r>
    </w:p>
    <w:p w:rsidR="00000000" w:rsidRPr="00F05001" w:rsidP="00F05001">
      <w:pPr>
        <w:pStyle w:val="Heading1"/>
      </w:pPr>
      <w:bookmarkStart w:id="7" w:name="O_854777"/>
      <w:bookmarkEnd w:id="7"/>
      <w:r w:rsidRPr="00F05001">
        <w:t>Range of Conditions</w:t>
      </w:r>
    </w:p>
    <w:p w:rsidR="00000000" w:rsidRPr="00F05001" w:rsidP="00F05001">
      <w:pPr>
        <w:pStyle w:val="Heading1"/>
      </w:pPr>
      <w:bookmarkStart w:id="8" w:name="O_854778"/>
      <w:bookmarkEnd w:id="8"/>
      <w:r w:rsidRPr="00F05001">
        <w:t>Unit Mapping Information</w:t>
      </w:r>
    </w:p>
    <w:p w:rsidR="00000000" w:rsidRPr="00F05001" w:rsidP="00D207C1">
      <w:pPr>
        <w:pStyle w:val="BodyText"/>
      </w:pPr>
      <w:r w:rsidRPr="00F05001">
        <w:t>This unit is equivalent to AHCAGB605A Manage business capital.</w:t>
      </w:r>
    </w:p>
    <w:p w:rsidR="00000000" w:rsidRPr="00F05001" w:rsidP="00F05001">
      <w:pPr>
        <w:pStyle w:val="Heading1"/>
      </w:pPr>
      <w:bookmarkStart w:id="9" w:name="O_854785"/>
      <w:bookmarkEnd w:id="9"/>
      <w:r w:rsidRPr="00F05001">
        <w:t>Links</w:t>
      </w:r>
    </w:p>
    <w:p w:rsidR="00000000" w:rsidRPr="00F05001" w:rsidP="00D207C1">
      <w:pPr>
        <w:pStyle w:val="BodyText"/>
      </w:pPr>
      <w:r w:rsidRPr="00F05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F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5001" w:rsidP="00D207C1">
      <w:pPr>
        <w:pStyle w:val="BodyText"/>
        <w:sectPr w:rsidSect="00F0500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5001" w:rsidP="00F05001">
      <w:pPr>
        <w:pStyle w:val="SuperHeading"/>
      </w:pPr>
      <w:r w:rsidRPr="00F05001">
        <w:t>Assessment Requirements for AHCAGB605 Manage business capital</w:t>
      </w:r>
    </w:p>
    <w:p w:rsidR="00000000" w:rsidRPr="00F05001" w:rsidP="00F05001">
      <w:pPr>
        <w:pStyle w:val="Heading1"/>
      </w:pPr>
      <w:bookmarkStart w:id="10" w:name="O_854780"/>
      <w:bookmarkEnd w:id="10"/>
      <w:r w:rsidRPr="00F050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TableHeading"/>
              <w:rPr>
                <w:lang w:val="en-NZ"/>
              </w:rPr>
            </w:pPr>
            <w:r w:rsidRPr="00F05001">
              <w:t>Comment</w:t>
            </w:r>
          </w:p>
        </w:tc>
      </w:tr>
      <w:tr w:rsidTr="00F050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5001">
            <w:pPr>
              <w:pStyle w:val="BodyText"/>
              <w:rPr>
                <w:lang w:val="en-NZ"/>
              </w:rPr>
            </w:pPr>
            <w:r w:rsidRPr="00F05001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5001" w:rsidP="00F05001">
            <w:pPr>
              <w:pStyle w:val="BodyText"/>
            </w:pPr>
            <w:r w:rsidRPr="00F05001">
              <w:t>Initial release</w:t>
            </w:r>
          </w:p>
        </w:tc>
      </w:tr>
    </w:tbl>
    <w:p w:rsidR="00000000" w:rsidRPr="00F05001" w:rsidP="00F05001">
      <w:pPr>
        <w:pStyle w:val="BodyText"/>
      </w:pPr>
    </w:p>
    <w:p w:rsidR="00000000" w:rsidRPr="00F05001" w:rsidP="00F05001">
      <w:pPr>
        <w:pStyle w:val="AllowPageBreak"/>
      </w:pPr>
    </w:p>
    <w:p w:rsidR="00000000" w:rsidRPr="00F05001" w:rsidP="00F05001">
      <w:pPr>
        <w:pStyle w:val="Heading1"/>
      </w:pPr>
      <w:bookmarkStart w:id="11" w:name="O_854781"/>
      <w:bookmarkEnd w:id="11"/>
      <w:r w:rsidRPr="00F05001">
        <w:t>Performance Evidence</w:t>
      </w:r>
    </w:p>
    <w:p w:rsidR="00000000" w:rsidRPr="00F05001" w:rsidP="00D207C1">
      <w:pPr>
        <w:pStyle w:val="BodyText"/>
      </w:pPr>
      <w:r w:rsidRPr="00F05001">
        <w:t>The cand</w:t>
      </w:r>
      <w:r w:rsidRPr="00F05001">
        <w:t>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F05001" w:rsidP="00D207C1">
      <w:pPr>
        <w:pStyle w:val="BodyText"/>
      </w:pPr>
      <w:r w:rsidRPr="00F05001">
        <w:t>The candidate must provide evidence that they can:</w:t>
      </w:r>
    </w:p>
    <w:p w:rsidR="00000000" w:rsidRPr="00F05001" w:rsidP="00F05001">
      <w:pPr>
        <w:pStyle w:val="ListBullet"/>
      </w:pPr>
      <w:r w:rsidRPr="00F05001">
        <w:t>assess capital needs</w:t>
      </w:r>
    </w:p>
    <w:p w:rsidR="00000000" w:rsidRPr="00F05001" w:rsidP="00F05001">
      <w:pPr>
        <w:pStyle w:val="ListBullet"/>
      </w:pPr>
      <w:r w:rsidRPr="00F05001">
        <w:t>assess appropriate equity levels for a business</w:t>
      </w:r>
    </w:p>
    <w:p w:rsidR="00000000" w:rsidRPr="00F05001" w:rsidP="00F05001">
      <w:pPr>
        <w:pStyle w:val="ListBullet"/>
      </w:pPr>
      <w:r w:rsidRPr="00F05001">
        <w:t>establish and maintain appropriate financing arrangements</w:t>
      </w:r>
    </w:p>
    <w:p w:rsidR="00000000" w:rsidRPr="00F05001" w:rsidP="00F05001">
      <w:pPr>
        <w:pStyle w:val="ListBullet"/>
      </w:pPr>
      <w:r w:rsidRPr="00F05001">
        <w:t>review the mix of liabilities</w:t>
      </w:r>
    </w:p>
    <w:p w:rsidR="00000000" w:rsidRPr="00F05001" w:rsidP="00F05001">
      <w:pPr>
        <w:pStyle w:val="ListBullet"/>
      </w:pPr>
      <w:r w:rsidRPr="00F05001">
        <w:t>monitor key indicators of financial returns for</w:t>
      </w:r>
      <w:r w:rsidRPr="00F05001">
        <w:t xml:space="preserve"> the business.</w:t>
      </w:r>
    </w:p>
    <w:p w:rsidR="00000000" w:rsidRPr="00F05001" w:rsidP="00F05001">
      <w:pPr>
        <w:pStyle w:val="AllowPageBreak"/>
      </w:pPr>
    </w:p>
    <w:p w:rsidR="00000000" w:rsidRPr="00F05001" w:rsidP="00F05001">
      <w:pPr>
        <w:pStyle w:val="Heading1"/>
      </w:pPr>
      <w:bookmarkStart w:id="12" w:name="O_854782"/>
      <w:bookmarkEnd w:id="12"/>
      <w:r w:rsidRPr="00F05001">
        <w:t>Knowledge Evidence</w:t>
      </w:r>
    </w:p>
    <w:p w:rsidR="00000000" w:rsidRPr="00F05001" w:rsidP="00D207C1">
      <w:pPr>
        <w:pStyle w:val="BodyText"/>
      </w:pPr>
      <w:r w:rsidRPr="00F05001">
        <w:t>The candidate must demonstrate knowledge of:</w:t>
      </w:r>
    </w:p>
    <w:p w:rsidR="00000000" w:rsidRPr="00F05001" w:rsidP="00F05001">
      <w:pPr>
        <w:pStyle w:val="ListBullet"/>
      </w:pPr>
      <w:r w:rsidRPr="00F05001">
        <w:t>preparation of financial reports</w:t>
      </w:r>
    </w:p>
    <w:p w:rsidR="00000000" w:rsidRPr="00F05001" w:rsidP="00F05001">
      <w:pPr>
        <w:pStyle w:val="ListBullet"/>
      </w:pPr>
      <w:r w:rsidRPr="00F05001">
        <w:t>impacts resulting from changes to various macroeconomic factors</w:t>
      </w:r>
    </w:p>
    <w:p w:rsidR="00000000" w:rsidRPr="00F05001" w:rsidP="00F05001">
      <w:pPr>
        <w:pStyle w:val="ListBullet"/>
      </w:pPr>
      <w:r w:rsidRPr="00F05001">
        <w:t>sources of finance</w:t>
      </w:r>
    </w:p>
    <w:p w:rsidR="00000000" w:rsidRPr="00F05001" w:rsidP="00F05001">
      <w:pPr>
        <w:pStyle w:val="ListBullet"/>
      </w:pPr>
      <w:r w:rsidRPr="00F05001">
        <w:t>negotiation techniques</w:t>
      </w:r>
    </w:p>
    <w:p w:rsidR="00000000" w:rsidRPr="00F05001" w:rsidP="00F05001">
      <w:pPr>
        <w:pStyle w:val="ListBullet"/>
      </w:pPr>
      <w:r w:rsidRPr="00F05001">
        <w:t>concept of equity, R</w:t>
      </w:r>
      <w:r w:rsidRPr="00F05001">
        <w:t>eturn on Assets (ROA), Return on Equity (ROE), Internal Rate of Return (IRR)</w:t>
      </w:r>
    </w:p>
    <w:p w:rsidR="00000000" w:rsidRPr="00F05001" w:rsidP="00F05001">
      <w:pPr>
        <w:pStyle w:val="ListBullet"/>
      </w:pPr>
      <w:r w:rsidRPr="00F05001">
        <w:t>bank and lending institution policies and requirements.</w:t>
      </w:r>
    </w:p>
    <w:p w:rsidR="00000000" w:rsidRPr="00F05001" w:rsidP="00F05001">
      <w:pPr>
        <w:pStyle w:val="AllowPageBreak"/>
      </w:pPr>
    </w:p>
    <w:p w:rsidR="00000000" w:rsidRPr="00F05001" w:rsidP="00F05001">
      <w:pPr>
        <w:pStyle w:val="Heading1"/>
      </w:pPr>
      <w:bookmarkStart w:id="13" w:name="O_854783"/>
      <w:bookmarkEnd w:id="13"/>
      <w:r w:rsidRPr="00F05001">
        <w:t>Assessment Conditions</w:t>
      </w:r>
    </w:p>
    <w:p w:rsidR="00000000" w:rsidRPr="00F05001" w:rsidP="00D207C1">
      <w:pPr>
        <w:pStyle w:val="BodyText"/>
      </w:pPr>
      <w:r w:rsidRPr="00F05001">
        <w:t>Competency is to be assessed in the workplace or simulated environment that accurate</w:t>
      </w:r>
      <w:r w:rsidRPr="00F05001">
        <w:t>ly reflects performance in a real workplace setting.</w:t>
      </w:r>
    </w:p>
    <w:p w:rsidR="00000000" w:rsidRPr="00F05001" w:rsidP="00D207C1">
      <w:pPr>
        <w:pStyle w:val="BodyText"/>
      </w:pPr>
      <w:r w:rsidRPr="00F05001">
        <w:t>Assessors must satisfy current standards for RTOs.</w:t>
      </w:r>
    </w:p>
    <w:p w:rsidR="00000000" w:rsidRPr="00F05001" w:rsidP="00F05001">
      <w:pPr>
        <w:pStyle w:val="Heading1"/>
      </w:pPr>
      <w:bookmarkStart w:id="14" w:name="O_854786"/>
      <w:bookmarkEnd w:id="14"/>
      <w:r w:rsidRPr="00F05001">
        <w:t>Links</w:t>
      </w:r>
    </w:p>
    <w:p w:rsidR="00000000" w:rsidRPr="00F05001" w:rsidP="00D207C1">
      <w:pPr>
        <w:pStyle w:val="BodyText"/>
      </w:pPr>
      <w:r w:rsidRPr="00F050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15F7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5001" w:rsidP="00F05001"/>
    <w:sectPr w:rsidSect="00F0500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 w:rsidRPr="00D207C1" w:rsidP="00D20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C1" w:rsidP="00F05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07C1" w:rsidP="00F05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207C1" w:rsidP="00F0500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 w:rsidP="00F050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207C1">
      <w:t>Approved</w:t>
    </w:r>
    <w:r w:rsidR="00D207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207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207C1">
      <w:rPr>
        <w:noProof/>
      </w:rPr>
      <w:t>4</w:t>
    </w:r>
    <w:r>
      <w:rPr>
        <w:noProof/>
      </w:rPr>
      <w:fldChar w:fldCharType="end"/>
    </w:r>
  </w:p>
  <w:p w:rsidR="00F05001" w:rsidP="00F050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207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207C1">
      <w:t>Skills Insight</w:t>
    </w:r>
    <w:r w:rsidR="00D207C1">
      <w:fldChar w:fldCharType="end"/>
    </w:r>
  </w:p>
  <w:p w:rsidR="00F05001" w:rsidP="00F050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5001" w:rsidRPr="00D207C1" w:rsidP="00D20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7C1" w:rsidRPr="002D2AF8" w:rsidP="00F05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AHCAGB605 Manage business capital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207C1" w:rsidP="00F0500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001" w:rsidRPr="002D2AF8" w:rsidP="00F050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207C1">
      <w:t>AHCAGB605 Manage business capital</w:t>
    </w:r>
    <w:r w:rsidR="00D207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207C1">
      <w:rPr>
        <w:noProof/>
      </w:rPr>
      <w:t>2 March 2025</w:t>
    </w:r>
    <w:r>
      <w:fldChar w:fldCharType="end"/>
    </w:r>
  </w:p>
  <w:p w:rsidR="00F05001" w:rsidP="00F050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35400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F8F1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0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50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50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50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50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50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50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50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50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50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50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5001"/>
  </w:style>
  <w:style w:type="character" w:customStyle="1" w:styleId="Heading1Char">
    <w:name w:val="Heading 1 Char"/>
    <w:basedOn w:val="DefaultParagraphFont"/>
    <w:link w:val="Heading1"/>
    <w:rsid w:val="00F050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50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50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50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500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50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500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50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50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50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50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50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50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50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50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50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50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50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50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50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50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50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50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50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50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5001"/>
    <w:rPr>
      <w:b/>
      <w:spacing w:val="0"/>
    </w:rPr>
  </w:style>
  <w:style w:type="paragraph" w:customStyle="1" w:styleId="SuperTitle">
    <w:name w:val="SuperTitle"/>
    <w:basedOn w:val="Title"/>
    <w:rsid w:val="00F050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50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50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50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50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50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50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50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50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50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50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50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50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5001"/>
    <w:rPr>
      <w:i/>
    </w:rPr>
  </w:style>
  <w:style w:type="paragraph" w:styleId="Caption">
    <w:name w:val="caption"/>
    <w:basedOn w:val="BodyText"/>
    <w:next w:val="Normal"/>
    <w:qFormat/>
    <w:rsid w:val="00F050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50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50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5001"/>
  </w:style>
  <w:style w:type="paragraph" w:styleId="TableofFigures">
    <w:name w:val="table of figures"/>
    <w:basedOn w:val="Normal"/>
    <w:next w:val="Normal"/>
    <w:semiHidden/>
    <w:rsid w:val="00F050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50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5001"/>
    <w:rPr>
      <w:rFonts w:ascii="Wingdings" w:hAnsi="Wingdings"/>
    </w:rPr>
  </w:style>
  <w:style w:type="character" w:customStyle="1" w:styleId="HotSpot">
    <w:name w:val="HotSpot"/>
    <w:rsid w:val="00F05001"/>
    <w:rPr>
      <w:color w:val="0033CC"/>
      <w:u w:val="none"/>
    </w:rPr>
  </w:style>
  <w:style w:type="paragraph" w:customStyle="1" w:styleId="BodyTextRight">
    <w:name w:val="Body Text Right"/>
    <w:basedOn w:val="BodyText"/>
    <w:rsid w:val="00F050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50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50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50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50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50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5001"/>
    <w:rPr>
      <w:sz w:val="32"/>
    </w:rPr>
  </w:style>
  <w:style w:type="paragraph" w:customStyle="1" w:styleId="HeadingProcedure">
    <w:name w:val="Heading Procedure"/>
    <w:basedOn w:val="HeadingBase"/>
    <w:next w:val="Normal"/>
    <w:rsid w:val="00F050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5001"/>
    <w:pPr>
      <w:spacing w:before="60" w:after="60"/>
    </w:pPr>
  </w:style>
  <w:style w:type="paragraph" w:styleId="ListContinue">
    <w:name w:val="List Continue"/>
    <w:basedOn w:val="List"/>
    <w:rsid w:val="00F05001"/>
    <w:pPr>
      <w:ind w:firstLine="0"/>
    </w:pPr>
  </w:style>
  <w:style w:type="paragraph" w:customStyle="1" w:styleId="ListNote">
    <w:name w:val="List Note"/>
    <w:basedOn w:val="List"/>
    <w:rsid w:val="00F050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50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50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5001"/>
    <w:rPr>
      <w:rFonts w:ascii="Courier New" w:hAnsi="Courier New"/>
    </w:rPr>
  </w:style>
  <w:style w:type="paragraph" w:customStyle="1" w:styleId="NoteBullet">
    <w:name w:val="Note Bullet"/>
    <w:basedOn w:val="Note"/>
    <w:rsid w:val="00F050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50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50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50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50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50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50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5001"/>
    <w:rPr>
      <w:b/>
      <w:smallCaps/>
    </w:rPr>
  </w:style>
  <w:style w:type="paragraph" w:customStyle="1" w:styleId="TableListNumber">
    <w:name w:val="Table List Number"/>
    <w:basedOn w:val="ListNumber"/>
    <w:rsid w:val="00F050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50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5001"/>
    <w:pPr>
      <w:numPr>
        <w:numId w:val="8"/>
      </w:numPr>
    </w:pPr>
  </w:style>
  <w:style w:type="paragraph" w:customStyle="1" w:styleId="ListAlpha2">
    <w:name w:val="List Alpha 2"/>
    <w:basedOn w:val="List2"/>
    <w:rsid w:val="00F05001"/>
    <w:pPr>
      <w:numPr>
        <w:numId w:val="7"/>
      </w:numPr>
    </w:pPr>
  </w:style>
  <w:style w:type="paragraph" w:styleId="List2">
    <w:name w:val="List 2"/>
    <w:basedOn w:val="BodyText"/>
    <w:rsid w:val="00F050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50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50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50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50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50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5001"/>
    <w:pPr>
      <w:numPr>
        <w:numId w:val="3"/>
      </w:numPr>
    </w:pPr>
  </w:style>
  <w:style w:type="paragraph" w:styleId="ListContinue2">
    <w:name w:val="List Continue 2"/>
    <w:basedOn w:val="List2"/>
    <w:rsid w:val="00F05001"/>
    <w:pPr>
      <w:ind w:firstLine="0"/>
    </w:pPr>
  </w:style>
  <w:style w:type="paragraph" w:styleId="ListContinue3">
    <w:name w:val="List Continue 3"/>
    <w:basedOn w:val="List3"/>
    <w:rsid w:val="00F05001"/>
    <w:pPr>
      <w:ind w:left="1021" w:firstLine="0"/>
    </w:pPr>
  </w:style>
  <w:style w:type="paragraph" w:styleId="ListContinue4">
    <w:name w:val="List Continue 4"/>
    <w:basedOn w:val="List4"/>
    <w:rsid w:val="00F05001"/>
    <w:pPr>
      <w:ind w:firstLine="0"/>
    </w:pPr>
  </w:style>
  <w:style w:type="paragraph" w:styleId="ListContinue5">
    <w:name w:val="List Continue 5"/>
    <w:basedOn w:val="List5"/>
    <w:rsid w:val="00F05001"/>
    <w:pPr>
      <w:ind w:firstLine="0"/>
    </w:pPr>
  </w:style>
  <w:style w:type="paragraph" w:styleId="ListNumber3">
    <w:name w:val="List Number 3"/>
    <w:basedOn w:val="List3"/>
    <w:rsid w:val="00F05001"/>
    <w:pPr>
      <w:numPr>
        <w:numId w:val="4"/>
      </w:numPr>
    </w:pPr>
  </w:style>
  <w:style w:type="paragraph" w:styleId="ListNumber4">
    <w:name w:val="List Number 4"/>
    <w:basedOn w:val="List4"/>
    <w:rsid w:val="00F05001"/>
    <w:pPr>
      <w:numPr>
        <w:numId w:val="5"/>
      </w:numPr>
    </w:pPr>
  </w:style>
  <w:style w:type="paragraph" w:styleId="ListNumber5">
    <w:name w:val="List Number 5"/>
    <w:basedOn w:val="List5"/>
    <w:rsid w:val="00F05001"/>
    <w:pPr>
      <w:numPr>
        <w:numId w:val="6"/>
      </w:numPr>
    </w:pPr>
  </w:style>
  <w:style w:type="paragraph" w:styleId="BlockText">
    <w:name w:val="Block Text"/>
    <w:basedOn w:val="Normal"/>
    <w:rsid w:val="00F050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50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5001"/>
    <w:rPr>
      <w:sz w:val="16"/>
      <w:vertAlign w:val="superscript"/>
    </w:rPr>
  </w:style>
  <w:style w:type="character" w:customStyle="1" w:styleId="Symbols">
    <w:name w:val="Symbols"/>
    <w:basedOn w:val="DefaultParagraphFont"/>
    <w:rsid w:val="00F05001"/>
    <w:rPr>
      <w:rFonts w:ascii="Symbol" w:hAnsi="Symbol"/>
    </w:rPr>
  </w:style>
  <w:style w:type="character" w:customStyle="1" w:styleId="MenuOptions">
    <w:name w:val="Menu Options"/>
    <w:basedOn w:val="DefaultParagraphFont"/>
    <w:rsid w:val="00F050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5001"/>
    <w:rPr>
      <w:b/>
    </w:rPr>
  </w:style>
  <w:style w:type="character" w:customStyle="1" w:styleId="Underlined">
    <w:name w:val="Underlined"/>
    <w:basedOn w:val="DefaultParagraphFont"/>
    <w:rsid w:val="00F05001"/>
    <w:rPr>
      <w:u w:val="single"/>
    </w:rPr>
  </w:style>
  <w:style w:type="paragraph" w:customStyle="1" w:styleId="TableBodyTextRight">
    <w:name w:val="Table Body Text Right"/>
    <w:basedOn w:val="TableBodyText"/>
    <w:rsid w:val="00F050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5001"/>
    <w:rPr>
      <w:sz w:val="18"/>
    </w:rPr>
  </w:style>
  <w:style w:type="paragraph" w:customStyle="1" w:styleId="BodySmallRight">
    <w:name w:val="Body Small Right"/>
    <w:basedOn w:val="BodyTextRight"/>
    <w:rsid w:val="00F05001"/>
    <w:rPr>
      <w:sz w:val="18"/>
      <w:szCs w:val="18"/>
    </w:rPr>
  </w:style>
  <w:style w:type="paragraph" w:customStyle="1" w:styleId="MarginEdition">
    <w:name w:val="Margin Edition"/>
    <w:basedOn w:val="MarginNote"/>
    <w:rsid w:val="00F050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5001"/>
    <w:rPr>
      <w:sz w:val="2"/>
      <w:szCs w:val="2"/>
    </w:rPr>
  </w:style>
  <w:style w:type="character" w:customStyle="1" w:styleId="Small">
    <w:name w:val="Small"/>
    <w:basedOn w:val="DefaultParagraphFont"/>
    <w:rsid w:val="00F05001"/>
    <w:rPr>
      <w:sz w:val="16"/>
    </w:rPr>
  </w:style>
  <w:style w:type="paragraph" w:customStyle="1" w:styleId="WideTable">
    <w:name w:val="Wide Table"/>
    <w:basedOn w:val="Normal"/>
    <w:rsid w:val="00F050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5001"/>
  </w:style>
  <w:style w:type="paragraph" w:styleId="Quote">
    <w:name w:val="Quote"/>
    <w:basedOn w:val="Heading1"/>
    <w:link w:val="QuoteChar"/>
    <w:qFormat/>
    <w:rsid w:val="00F050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50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5001"/>
    <w:pPr>
      <w:pageBreakBefore/>
    </w:pPr>
  </w:style>
  <w:style w:type="paragraph" w:customStyle="1" w:styleId="Border">
    <w:name w:val="Border"/>
    <w:basedOn w:val="Normal"/>
    <w:qFormat/>
    <w:rsid w:val="00F050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50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50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50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50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50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50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50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50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5001"/>
    <w:rPr>
      <w:u w:val="single"/>
    </w:rPr>
  </w:style>
  <w:style w:type="character" w:customStyle="1" w:styleId="BoldandItalics">
    <w:name w:val="Bold and Italics"/>
    <w:qFormat/>
    <w:rsid w:val="00F05001"/>
    <w:rPr>
      <w:b/>
      <w:i/>
      <w:u w:val="none"/>
    </w:rPr>
  </w:style>
  <w:style w:type="paragraph" w:styleId="BalloonText">
    <w:name w:val="Balloon Text"/>
    <w:basedOn w:val="Normal"/>
    <w:link w:val="BalloonTextChar"/>
    <w:rsid w:val="00F050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50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50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50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50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50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5001"/>
    <w:pPr>
      <w:spacing w:before="0" w:after="0"/>
    </w:pPr>
  </w:style>
  <w:style w:type="paragraph" w:customStyle="1" w:styleId="BodyTextBold">
    <w:name w:val="Body Text Bold"/>
    <w:basedOn w:val="BodyText"/>
    <w:qFormat/>
    <w:rsid w:val="00F05001"/>
    <w:rPr>
      <w:b/>
    </w:rPr>
  </w:style>
  <w:style w:type="character" w:styleId="Hyperlink">
    <w:name w:val="Hyperlink"/>
    <w:basedOn w:val="DefaultParagraphFont"/>
    <w:uiPriority w:val="99"/>
    <w:unhideWhenUsed/>
    <w:rsid w:val="00D20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631</Words>
  <Characters>3954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4486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AHCAGB605 Manage business capital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2025-03-02T01:22:00Z</dcterms:created>
  <dcterms:modified xsi:type="dcterms:W3CDTF">2025-03-02T01:22:00Z</dcterms:modified>
</cp:coreProperties>
</file>