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073" w:rsidP="00E67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AHCAGB402 Analyse and interpret production data</w:t>
      </w:r>
      <w:r>
        <w:fldChar w:fldCharType="end"/>
      </w:r>
    </w:p>
    <w:p w:rsidR="00E67073" w:rsidP="00E67073">
      <w:pPr>
        <w:pStyle w:val="Version"/>
        <w:sectPr w:rsidSect="00360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A12" w:rsidP="00360A12">
      <w:pPr>
        <w:pStyle w:val="SuperHeading"/>
      </w:pPr>
      <w:r w:rsidRPr="00360A12">
        <w:t>AHCAGB402 Analyse and interpret production data</w:t>
      </w:r>
    </w:p>
    <w:p w:rsidR="00000000" w:rsidRPr="00360A12" w:rsidP="00360A12">
      <w:pPr>
        <w:pStyle w:val="Heading1"/>
      </w:pPr>
      <w:bookmarkStart w:id="1" w:name="O_853064"/>
      <w:bookmarkEnd w:id="1"/>
      <w:r w:rsidRPr="00360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0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TableHeading"/>
              <w:rPr>
                <w:lang w:val="en-NZ"/>
              </w:rPr>
            </w:pPr>
            <w:r w:rsidRPr="00360A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TableHeading"/>
              <w:rPr>
                <w:lang w:val="en-NZ"/>
              </w:rPr>
            </w:pPr>
            <w:r w:rsidRPr="00360A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TableHeading"/>
              <w:rPr>
                <w:lang w:val="en-NZ"/>
              </w:rPr>
            </w:pPr>
            <w:r w:rsidRPr="00360A12">
              <w:t>Comment</w:t>
            </w:r>
          </w:p>
        </w:tc>
      </w:tr>
      <w:tr w:rsidTr="00360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BodyText"/>
              <w:rPr>
                <w:lang w:val="en-NZ"/>
              </w:rPr>
            </w:pPr>
            <w:r w:rsidRPr="00360A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BodyText"/>
              <w:rPr>
                <w:lang w:val="en-NZ"/>
              </w:rPr>
            </w:pPr>
            <w:r w:rsidRPr="00360A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12" w:rsidP="00360A12">
            <w:pPr>
              <w:pStyle w:val="BodyText"/>
            </w:pPr>
            <w:r w:rsidRPr="00360A12">
              <w:t>Initial release</w:t>
            </w:r>
          </w:p>
        </w:tc>
      </w:tr>
    </w:tbl>
    <w:p w:rsidR="00000000" w:rsidRPr="00360A12" w:rsidP="00360A12">
      <w:pPr>
        <w:pStyle w:val="BodyText"/>
      </w:pPr>
    </w:p>
    <w:p w:rsidR="00000000" w:rsidRPr="00360A12" w:rsidP="00360A12">
      <w:pPr>
        <w:pStyle w:val="AllowPageBreak"/>
      </w:pPr>
    </w:p>
    <w:p w:rsidR="00000000" w:rsidRPr="00360A12" w:rsidP="00360A12">
      <w:pPr>
        <w:pStyle w:val="Heading1"/>
      </w:pPr>
      <w:bookmarkStart w:id="2" w:name="O_853065"/>
      <w:bookmarkEnd w:id="2"/>
      <w:r w:rsidRPr="00360A12">
        <w:t>Application</w:t>
      </w:r>
    </w:p>
    <w:p w:rsidR="00000000" w:rsidRPr="00360A12" w:rsidP="00E67073">
      <w:pPr>
        <w:pStyle w:val="BodyText"/>
      </w:pPr>
      <w:r w:rsidRPr="00360A12">
        <w:t>This unit of competency describes the skills and knowledge required to analyse and interpret animal, crop and horticultural production data.</w:t>
      </w:r>
    </w:p>
    <w:p w:rsidR="00000000" w:rsidRPr="00360A12" w:rsidP="00E67073">
      <w:pPr>
        <w:pStyle w:val="BodyText"/>
      </w:pPr>
      <w:r w:rsidRPr="00360A12">
        <w:t>All work must be carried out to comply with workplace procedures, work health and safety legislation and codes.</w:t>
      </w:r>
    </w:p>
    <w:p w:rsidR="00000000" w:rsidRPr="00360A12" w:rsidP="00E67073">
      <w:pPr>
        <w:pStyle w:val="BodyText"/>
      </w:pPr>
      <w:r w:rsidRPr="00360A12">
        <w:t>This unit applies to individuals who take responsibility for their own work. They undertake a range of routine and non-routine activities and w</w:t>
      </w:r>
      <w:r w:rsidRPr="00360A12">
        <w:t>ork in known and changing contexts.</w:t>
      </w:r>
    </w:p>
    <w:p w:rsidR="00000000" w:rsidRPr="00360A12" w:rsidP="00E67073">
      <w:pPr>
        <w:pStyle w:val="BodyText"/>
      </w:pPr>
      <w:r w:rsidRPr="00360A12">
        <w:t>No occupational licensing, legislative or certification requirements are known to apply to this unit at the time of publication.</w:t>
      </w:r>
    </w:p>
    <w:p w:rsidR="00000000" w:rsidRPr="00360A12" w:rsidP="00360A12">
      <w:pPr>
        <w:pStyle w:val="Heading1"/>
      </w:pPr>
      <w:bookmarkStart w:id="3" w:name="O_853066"/>
      <w:bookmarkEnd w:id="3"/>
      <w:r w:rsidRPr="00360A12">
        <w:t>Pre-requisite Unit</w:t>
      </w:r>
    </w:p>
    <w:p w:rsidR="00000000" w:rsidRPr="00360A12" w:rsidP="00E67073">
      <w:pPr>
        <w:pStyle w:val="BodyText"/>
      </w:pPr>
      <w:r w:rsidRPr="00360A12">
        <w:t>Nil.</w:t>
      </w:r>
    </w:p>
    <w:p w:rsidR="00000000" w:rsidRPr="00360A12" w:rsidP="00360A12">
      <w:pPr>
        <w:pStyle w:val="Heading1"/>
      </w:pPr>
      <w:bookmarkStart w:id="4" w:name="O_853068"/>
      <w:bookmarkEnd w:id="4"/>
      <w:r w:rsidRPr="00360A12">
        <w:t>Unit Sector</w:t>
      </w:r>
    </w:p>
    <w:p w:rsidR="00000000" w:rsidRPr="00360A12" w:rsidP="00E67073">
      <w:pPr>
        <w:pStyle w:val="BodyText"/>
      </w:pPr>
      <w:r w:rsidRPr="00360A12">
        <w:t>Agribusiness (AGB)</w:t>
      </w:r>
    </w:p>
    <w:p w:rsidR="00000000" w:rsidRPr="00360A12" w:rsidP="00360A12">
      <w:pPr>
        <w:pStyle w:val="Heading1"/>
      </w:pPr>
      <w:bookmarkStart w:id="5" w:name="O_853069"/>
      <w:bookmarkEnd w:id="5"/>
      <w:r w:rsidRPr="00360A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7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TableHeading"/>
              <w:rPr>
                <w:lang w:val="en-NZ"/>
              </w:rPr>
            </w:pPr>
            <w:r w:rsidRPr="00360A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TableHeading"/>
              <w:rPr>
                <w:lang w:val="en-NZ"/>
              </w:rPr>
            </w:pPr>
            <w:r w:rsidRPr="00360A12">
              <w:t>Performance criteria</w:t>
            </w:r>
          </w:p>
        </w:tc>
      </w:tr>
      <w:tr w:rsidTr="00E67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BodyText"/>
              <w:rPr>
                <w:lang w:val="en-NZ"/>
              </w:rPr>
            </w:pPr>
            <w:r w:rsidRPr="00360A1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BodyText"/>
              <w:rPr>
                <w:lang w:val="en-NZ"/>
              </w:rPr>
            </w:pPr>
            <w:r w:rsidRPr="00360A12">
              <w:t>Performance criteria describe the performance needed to demonstrate achievement of the element.</w:t>
            </w:r>
          </w:p>
        </w:tc>
      </w:tr>
      <w:tr w:rsidTr="00E67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List"/>
              <w:rPr>
                <w:lang w:val="en-NZ"/>
              </w:rPr>
            </w:pPr>
            <w:r w:rsidRPr="00360A12">
              <w:t>1.</w:t>
            </w:r>
            <w:r w:rsidRPr="00360A12">
              <w:tab/>
            </w:r>
            <w:r w:rsidRPr="00360A12">
              <w:t>Collect and organise production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12" w:rsidP="00360A12">
            <w:pPr>
              <w:pStyle w:val="List"/>
            </w:pPr>
            <w:r w:rsidRPr="00360A12">
              <w:t>1.1</w:t>
            </w:r>
            <w:r w:rsidRPr="00360A12">
              <w:tab/>
              <w:t>Collect, organise and interpret information in a format suitable for analysis</w:t>
            </w:r>
          </w:p>
          <w:p w:rsidR="00000000" w:rsidRPr="00360A12" w:rsidP="00360A12">
            <w:pPr>
              <w:pStyle w:val="List"/>
            </w:pPr>
            <w:r w:rsidRPr="00360A12">
              <w:t>1.2</w:t>
            </w:r>
            <w:r w:rsidRPr="00360A12">
              <w:tab/>
              <w:t>Determine accuracy and relevance of information held by the production unit</w:t>
            </w:r>
          </w:p>
          <w:p w:rsidR="00000000" w:rsidRPr="00360A12" w:rsidP="00360A12">
            <w:pPr>
              <w:pStyle w:val="List"/>
            </w:pPr>
            <w:r w:rsidRPr="00360A12">
              <w:t>1.3</w:t>
            </w:r>
            <w:r w:rsidRPr="00360A12">
              <w:tab/>
              <w:t>Ensure methods of collecting data are reliable and ma</w:t>
            </w:r>
            <w:r w:rsidRPr="00360A12">
              <w:t>ke efficient use of resources</w:t>
            </w:r>
          </w:p>
          <w:p w:rsidR="00000000" w:rsidRPr="00360A12" w:rsidP="00360A12">
            <w:pPr>
              <w:pStyle w:val="List"/>
            </w:pPr>
            <w:r w:rsidRPr="00360A12">
              <w:t>1.4</w:t>
            </w:r>
            <w:r w:rsidRPr="00360A12">
              <w:tab/>
              <w:t>Use business equipment to access, organise and monitor data</w:t>
            </w:r>
          </w:p>
          <w:p w:rsidR="00000000" w:rsidP="00360A12">
            <w:pPr>
              <w:pStyle w:val="List"/>
              <w:rPr>
                <w:lang w:val="en-NZ"/>
              </w:rPr>
            </w:pPr>
            <w:r w:rsidRPr="00360A12">
              <w:t>1.5</w:t>
            </w:r>
            <w:r w:rsidRPr="00360A12">
              <w:tab/>
              <w:t>Update, modify, maintain and store information</w:t>
            </w:r>
          </w:p>
        </w:tc>
      </w:tr>
      <w:tr w:rsidTr="00E67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List"/>
              <w:rPr>
                <w:lang w:val="en-NZ"/>
              </w:rPr>
            </w:pPr>
            <w:r w:rsidRPr="00360A12">
              <w:t>2.</w:t>
            </w:r>
            <w:r w:rsidRPr="00360A12">
              <w:tab/>
              <w:t>Analyse and interpret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12" w:rsidP="00360A12">
            <w:pPr>
              <w:pStyle w:val="List"/>
            </w:pPr>
            <w:r w:rsidRPr="00360A12">
              <w:t>2.1</w:t>
            </w:r>
            <w:r w:rsidRPr="00360A12">
              <w:tab/>
              <w:t>Define objectives of analysis clearly</w:t>
            </w:r>
          </w:p>
          <w:p w:rsidR="00000000" w:rsidRPr="00360A12" w:rsidP="00360A12">
            <w:pPr>
              <w:pStyle w:val="List"/>
            </w:pPr>
            <w:r w:rsidRPr="00360A12">
              <w:t>2.2</w:t>
            </w:r>
            <w:r w:rsidRPr="00360A12">
              <w:tab/>
            </w:r>
            <w:r w:rsidRPr="00360A12">
              <w:t xml:space="preserve">Ensure methods of data analysis are reliable and consistent </w:t>
            </w:r>
          </w:p>
          <w:p w:rsidR="00000000" w:rsidRPr="00360A12" w:rsidP="00360A12">
            <w:pPr>
              <w:pStyle w:val="List"/>
            </w:pPr>
            <w:r w:rsidRPr="00360A12">
              <w:t>2.3</w:t>
            </w:r>
            <w:r w:rsidRPr="00360A12">
              <w:tab/>
              <w:t>Ensure assumptions used in analyses are clear, justified and consistent with enterprise objectives</w:t>
            </w:r>
          </w:p>
          <w:p w:rsidR="00000000" w:rsidP="00360A12">
            <w:pPr>
              <w:pStyle w:val="List"/>
              <w:rPr>
                <w:lang w:val="en-NZ"/>
              </w:rPr>
            </w:pPr>
            <w:r w:rsidRPr="00360A12">
              <w:t>2.4</w:t>
            </w:r>
            <w:r w:rsidRPr="00360A12">
              <w:tab/>
              <w:t>Ensure conclusions are supported by evidence and contribute to the achievement of busine</w:t>
            </w:r>
            <w:r w:rsidRPr="00360A12">
              <w:t>ss objectives</w:t>
            </w:r>
          </w:p>
        </w:tc>
      </w:tr>
      <w:tr w:rsidTr="00E670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A12">
            <w:pPr>
              <w:pStyle w:val="List"/>
              <w:rPr>
                <w:lang w:val="en-NZ"/>
              </w:rPr>
            </w:pPr>
            <w:r w:rsidRPr="00360A12">
              <w:t>3.</w:t>
            </w:r>
            <w:r w:rsidRPr="00360A12">
              <w:tab/>
              <w:t>Present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A12" w:rsidP="00360A12">
            <w:pPr>
              <w:pStyle w:val="List"/>
            </w:pPr>
            <w:r w:rsidRPr="00360A12">
              <w:t>3.1</w:t>
            </w:r>
            <w:r w:rsidRPr="00360A12">
              <w:tab/>
              <w:t>Prepare and report data in an appropriate format, style and structure using suitable business technology</w:t>
            </w:r>
          </w:p>
          <w:p w:rsidR="00000000" w:rsidRPr="00360A12" w:rsidP="00360A12">
            <w:pPr>
              <w:pStyle w:val="List"/>
            </w:pPr>
            <w:r w:rsidRPr="00360A12">
              <w:t>3.2</w:t>
            </w:r>
            <w:r w:rsidRPr="00360A12">
              <w:tab/>
              <w:t>Ensure structure and format of reports are clear and conform to enterprise requirements</w:t>
            </w:r>
          </w:p>
          <w:p w:rsidR="00000000" w:rsidRPr="00360A12" w:rsidP="00360A12">
            <w:pPr>
              <w:pStyle w:val="List"/>
            </w:pPr>
            <w:r w:rsidRPr="00360A12">
              <w:t>3.3</w:t>
            </w:r>
            <w:r w:rsidRPr="00360A12">
              <w:tab/>
              <w:t xml:space="preserve">Obtain feedback and </w:t>
            </w:r>
            <w:r w:rsidRPr="00360A12">
              <w:t>comments on suitability and sufficiency of findings</w:t>
            </w:r>
          </w:p>
        </w:tc>
      </w:tr>
    </w:tbl>
    <w:p w:rsidR="00000000" w:rsidRPr="00360A12" w:rsidP="00360A12">
      <w:pPr>
        <w:pStyle w:val="List"/>
      </w:pPr>
    </w:p>
    <w:p w:rsidR="00000000" w:rsidRPr="00360A12" w:rsidP="00360A12">
      <w:pPr>
        <w:pStyle w:val="AllowPageBreak"/>
      </w:pPr>
    </w:p>
    <w:p w:rsidR="00000000" w:rsidRPr="00360A12" w:rsidP="00360A12">
      <w:pPr>
        <w:pStyle w:val="Heading1"/>
      </w:pPr>
      <w:bookmarkStart w:id="6" w:name="O_853070"/>
      <w:bookmarkEnd w:id="6"/>
      <w:r w:rsidRPr="00360A12">
        <w:t>Foundation Skills</w:t>
      </w:r>
    </w:p>
    <w:p w:rsidR="00000000" w:rsidRPr="00360A12" w:rsidP="00E67073">
      <w:pPr>
        <w:pStyle w:val="BodyText"/>
      </w:pPr>
      <w:r w:rsidRPr="00360A12">
        <w:t>Foundation Skills essential to performance are explicit in the performance criteria of this unit of competency.</w:t>
      </w:r>
    </w:p>
    <w:p w:rsidR="00000000" w:rsidRPr="00360A12" w:rsidP="00360A12">
      <w:pPr>
        <w:pStyle w:val="Heading1"/>
      </w:pPr>
      <w:bookmarkStart w:id="7" w:name="O_853071"/>
      <w:bookmarkEnd w:id="7"/>
      <w:r w:rsidRPr="00360A12">
        <w:t>Range of Conditions</w:t>
      </w:r>
    </w:p>
    <w:p w:rsidR="00000000" w:rsidRPr="00360A12" w:rsidP="00360A12">
      <w:pPr>
        <w:pStyle w:val="Heading1"/>
      </w:pPr>
      <w:bookmarkStart w:id="8" w:name="O_853072"/>
      <w:bookmarkEnd w:id="8"/>
      <w:r w:rsidRPr="00360A12">
        <w:t>Un</w:t>
      </w:r>
      <w:r w:rsidRPr="00360A12">
        <w:t>it Mapping Information</w:t>
      </w:r>
    </w:p>
    <w:p w:rsidR="00000000" w:rsidRPr="00360A12" w:rsidP="00E67073">
      <w:pPr>
        <w:pStyle w:val="BodyText"/>
      </w:pPr>
      <w:r w:rsidRPr="00360A12">
        <w:t>This unit is equivalent to AHCAGB402A Analyse and interpret production data.</w:t>
      </w:r>
    </w:p>
    <w:p w:rsidR="00000000" w:rsidRPr="00360A12" w:rsidP="00360A12">
      <w:pPr>
        <w:pStyle w:val="Heading1"/>
      </w:pPr>
      <w:bookmarkStart w:id="9" w:name="O_853079"/>
      <w:bookmarkEnd w:id="9"/>
      <w:r w:rsidRPr="00360A12">
        <w:t>Links</w:t>
      </w:r>
    </w:p>
    <w:p w:rsidR="00000000" w:rsidRPr="00360A12" w:rsidP="00E67073">
      <w:pPr>
        <w:pStyle w:val="BodyText"/>
      </w:pPr>
      <w:r w:rsidRPr="00360A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1E0F8C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60A12" w:rsidP="00360A12"/>
    <w:sectPr w:rsidSect="00360A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12" w:rsidRPr="00E67073" w:rsidP="00E67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73" w:rsidP="00360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7073" w:rsidP="00360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7073" w:rsidP="00360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A12" w:rsidRPr="00E67073" w:rsidP="00E67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73" w:rsidRPr="002D2AF8" w:rsidP="00360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AHCAGB402 Analyse and interpret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E67073" w:rsidP="00360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A12"/>
  </w:style>
  <w:style w:type="character" w:customStyle="1" w:styleId="Heading1Char">
    <w:name w:val="Heading 1 Char"/>
    <w:basedOn w:val="DefaultParagraphFont"/>
    <w:link w:val="Heading1"/>
    <w:rsid w:val="00360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A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0A1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60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0A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0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A1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60A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0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A12"/>
    <w:rPr>
      <w:b/>
      <w:spacing w:val="0"/>
    </w:rPr>
  </w:style>
  <w:style w:type="paragraph" w:customStyle="1" w:styleId="SuperTitle">
    <w:name w:val="SuperTitle"/>
    <w:basedOn w:val="Title"/>
    <w:rsid w:val="00360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0A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0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A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A12"/>
    <w:rPr>
      <w:i/>
    </w:rPr>
  </w:style>
  <w:style w:type="paragraph" w:styleId="Caption">
    <w:name w:val="caption"/>
    <w:basedOn w:val="BodyText"/>
    <w:next w:val="Normal"/>
    <w:qFormat/>
    <w:rsid w:val="00360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A12"/>
  </w:style>
  <w:style w:type="paragraph" w:styleId="TableofFigures">
    <w:name w:val="table of figures"/>
    <w:basedOn w:val="Normal"/>
    <w:next w:val="Normal"/>
    <w:semiHidden/>
    <w:rsid w:val="00360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A12"/>
    <w:pPr>
      <w:numPr>
        <w:numId w:val="9"/>
      </w:numPr>
    </w:pPr>
  </w:style>
  <w:style w:type="character" w:customStyle="1" w:styleId="WingdingSymbols">
    <w:name w:val="Wingding Symbols"/>
    <w:rsid w:val="00360A12"/>
    <w:rPr>
      <w:rFonts w:ascii="Wingdings" w:hAnsi="Wingdings"/>
    </w:rPr>
  </w:style>
  <w:style w:type="character" w:customStyle="1" w:styleId="HotSpot">
    <w:name w:val="HotSpot"/>
    <w:rsid w:val="00360A12"/>
    <w:rPr>
      <w:color w:val="0033CC"/>
      <w:u w:val="none"/>
    </w:rPr>
  </w:style>
  <w:style w:type="paragraph" w:customStyle="1" w:styleId="BodyTextRight">
    <w:name w:val="Body Text Right"/>
    <w:basedOn w:val="BodyText"/>
    <w:rsid w:val="00360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A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A12"/>
    <w:rPr>
      <w:sz w:val="32"/>
    </w:rPr>
  </w:style>
  <w:style w:type="paragraph" w:customStyle="1" w:styleId="HeadingProcedure">
    <w:name w:val="Heading Procedure"/>
    <w:basedOn w:val="HeadingBase"/>
    <w:next w:val="Normal"/>
    <w:rsid w:val="00360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A12"/>
    <w:pPr>
      <w:spacing w:before="60" w:after="60"/>
    </w:pPr>
  </w:style>
  <w:style w:type="paragraph" w:styleId="ListContinue">
    <w:name w:val="List Continue"/>
    <w:basedOn w:val="List"/>
    <w:rsid w:val="00360A12"/>
    <w:pPr>
      <w:ind w:firstLine="0"/>
    </w:pPr>
  </w:style>
  <w:style w:type="paragraph" w:customStyle="1" w:styleId="ListNote">
    <w:name w:val="List Note"/>
    <w:basedOn w:val="List"/>
    <w:rsid w:val="00360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A12"/>
    <w:rPr>
      <w:rFonts w:ascii="Courier New" w:hAnsi="Courier New"/>
    </w:rPr>
  </w:style>
  <w:style w:type="paragraph" w:customStyle="1" w:styleId="NoteBullet">
    <w:name w:val="Note Bullet"/>
    <w:basedOn w:val="Note"/>
    <w:rsid w:val="00360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A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0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A12"/>
    <w:rPr>
      <w:b/>
      <w:smallCaps/>
    </w:rPr>
  </w:style>
  <w:style w:type="paragraph" w:customStyle="1" w:styleId="TableListNumber">
    <w:name w:val="Table List Number"/>
    <w:basedOn w:val="ListNumber"/>
    <w:rsid w:val="00360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A12"/>
    <w:pPr>
      <w:numPr>
        <w:numId w:val="7"/>
      </w:numPr>
    </w:pPr>
  </w:style>
  <w:style w:type="paragraph" w:customStyle="1" w:styleId="ListAlpha2">
    <w:name w:val="List Alpha 2"/>
    <w:basedOn w:val="List2"/>
    <w:rsid w:val="00360A12"/>
    <w:pPr>
      <w:numPr>
        <w:numId w:val="6"/>
      </w:numPr>
    </w:pPr>
  </w:style>
  <w:style w:type="paragraph" w:styleId="List2">
    <w:name w:val="List 2"/>
    <w:basedOn w:val="BodyText"/>
    <w:rsid w:val="00360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A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A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0A12"/>
    <w:pPr>
      <w:numPr>
        <w:numId w:val="2"/>
      </w:numPr>
    </w:pPr>
  </w:style>
  <w:style w:type="paragraph" w:styleId="ListContinue2">
    <w:name w:val="List Continue 2"/>
    <w:basedOn w:val="List2"/>
    <w:rsid w:val="00360A12"/>
    <w:pPr>
      <w:ind w:firstLine="0"/>
    </w:pPr>
  </w:style>
  <w:style w:type="paragraph" w:styleId="ListContinue3">
    <w:name w:val="List Continue 3"/>
    <w:basedOn w:val="List3"/>
    <w:rsid w:val="00360A12"/>
    <w:pPr>
      <w:ind w:left="1021" w:firstLine="0"/>
    </w:pPr>
  </w:style>
  <w:style w:type="paragraph" w:styleId="ListContinue4">
    <w:name w:val="List Continue 4"/>
    <w:basedOn w:val="List4"/>
    <w:rsid w:val="00360A12"/>
    <w:pPr>
      <w:ind w:firstLine="0"/>
    </w:pPr>
  </w:style>
  <w:style w:type="paragraph" w:styleId="ListContinue5">
    <w:name w:val="List Continue 5"/>
    <w:basedOn w:val="List5"/>
    <w:rsid w:val="00360A12"/>
    <w:pPr>
      <w:ind w:firstLine="0"/>
    </w:pPr>
  </w:style>
  <w:style w:type="paragraph" w:styleId="ListNumber3">
    <w:name w:val="List Number 3"/>
    <w:basedOn w:val="List3"/>
    <w:rsid w:val="00360A12"/>
    <w:pPr>
      <w:numPr>
        <w:numId w:val="3"/>
      </w:numPr>
    </w:pPr>
  </w:style>
  <w:style w:type="paragraph" w:styleId="ListNumber4">
    <w:name w:val="List Number 4"/>
    <w:basedOn w:val="List4"/>
    <w:rsid w:val="00360A12"/>
    <w:pPr>
      <w:numPr>
        <w:numId w:val="4"/>
      </w:numPr>
    </w:pPr>
  </w:style>
  <w:style w:type="paragraph" w:styleId="ListNumber5">
    <w:name w:val="List Number 5"/>
    <w:basedOn w:val="List5"/>
    <w:rsid w:val="00360A12"/>
    <w:pPr>
      <w:numPr>
        <w:numId w:val="5"/>
      </w:numPr>
    </w:pPr>
  </w:style>
  <w:style w:type="paragraph" w:styleId="BlockText">
    <w:name w:val="Block Text"/>
    <w:basedOn w:val="Normal"/>
    <w:rsid w:val="00360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A12"/>
    <w:rPr>
      <w:sz w:val="16"/>
      <w:vertAlign w:val="superscript"/>
    </w:rPr>
  </w:style>
  <w:style w:type="character" w:customStyle="1" w:styleId="Symbols">
    <w:name w:val="Symbols"/>
    <w:basedOn w:val="DefaultParagraphFont"/>
    <w:rsid w:val="00360A12"/>
    <w:rPr>
      <w:rFonts w:ascii="Symbol" w:hAnsi="Symbol"/>
    </w:rPr>
  </w:style>
  <w:style w:type="character" w:customStyle="1" w:styleId="MenuOptions">
    <w:name w:val="Menu Options"/>
    <w:basedOn w:val="DefaultParagraphFont"/>
    <w:rsid w:val="00360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A12"/>
    <w:rPr>
      <w:b/>
    </w:rPr>
  </w:style>
  <w:style w:type="character" w:customStyle="1" w:styleId="Underlined">
    <w:name w:val="Underlined"/>
    <w:basedOn w:val="DefaultParagraphFont"/>
    <w:rsid w:val="00360A12"/>
    <w:rPr>
      <w:u w:val="single"/>
    </w:rPr>
  </w:style>
  <w:style w:type="paragraph" w:customStyle="1" w:styleId="TableBodyTextRight">
    <w:name w:val="Table Body Text Right"/>
    <w:basedOn w:val="TableBodyText"/>
    <w:rsid w:val="00360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A12"/>
    <w:rPr>
      <w:sz w:val="18"/>
    </w:rPr>
  </w:style>
  <w:style w:type="paragraph" w:customStyle="1" w:styleId="BodySmallRight">
    <w:name w:val="Body Small Right"/>
    <w:basedOn w:val="BodyTextRight"/>
    <w:rsid w:val="00360A12"/>
    <w:rPr>
      <w:sz w:val="18"/>
      <w:szCs w:val="18"/>
    </w:rPr>
  </w:style>
  <w:style w:type="paragraph" w:customStyle="1" w:styleId="MarginEdition">
    <w:name w:val="Margin Edition"/>
    <w:basedOn w:val="MarginNote"/>
    <w:rsid w:val="00360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A12"/>
    <w:rPr>
      <w:sz w:val="2"/>
      <w:szCs w:val="2"/>
    </w:rPr>
  </w:style>
  <w:style w:type="character" w:customStyle="1" w:styleId="Small">
    <w:name w:val="Small"/>
    <w:basedOn w:val="DefaultParagraphFont"/>
    <w:rsid w:val="00360A12"/>
    <w:rPr>
      <w:sz w:val="16"/>
    </w:rPr>
  </w:style>
  <w:style w:type="paragraph" w:customStyle="1" w:styleId="WideTable">
    <w:name w:val="Wide Table"/>
    <w:basedOn w:val="Normal"/>
    <w:rsid w:val="00360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A12"/>
  </w:style>
  <w:style w:type="paragraph" w:styleId="Quote">
    <w:name w:val="Quote"/>
    <w:basedOn w:val="Heading1"/>
    <w:link w:val="QuoteChar"/>
    <w:qFormat/>
    <w:rsid w:val="00360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A12"/>
    <w:pPr>
      <w:pageBreakBefore/>
    </w:pPr>
  </w:style>
  <w:style w:type="paragraph" w:customStyle="1" w:styleId="Border">
    <w:name w:val="Border"/>
    <w:basedOn w:val="Normal"/>
    <w:qFormat/>
    <w:rsid w:val="00360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A12"/>
    <w:rPr>
      <w:u w:val="single"/>
    </w:rPr>
  </w:style>
  <w:style w:type="character" w:customStyle="1" w:styleId="BoldandItalics">
    <w:name w:val="Bold and Italics"/>
    <w:qFormat/>
    <w:rsid w:val="00360A12"/>
    <w:rPr>
      <w:b/>
      <w:i/>
      <w:u w:val="none"/>
    </w:rPr>
  </w:style>
  <w:style w:type="paragraph" w:styleId="BalloonText">
    <w:name w:val="Balloon Text"/>
    <w:basedOn w:val="Normal"/>
    <w:link w:val="BalloonTextChar"/>
    <w:rsid w:val="00360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A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7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2291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AHCAGB402 Analyse and interpret production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2018-12-19T02:31:00Z</dcterms:created>
  <dcterms:modified xsi:type="dcterms:W3CDTF">2018-12-19T02:31:00Z</dcterms:modified>
</cp:coreProperties>
</file>