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E4AFA" w:rsidP="00EE4AFA">
      <w:pPr>
        <w:pStyle w:val="Title"/>
      </w:pPr>
      <w:bookmarkStart w:id="0" w:name="_GoBack"/>
      <w:bookmarkEnd w:id="0"/>
      <w:r>
        <w:fldChar w:fldCharType="begin"/>
      </w:r>
      <w:r>
        <w:instrText xml:space="preserve"> TITLE   \* MERGEFORMAT </w:instrText>
      </w:r>
      <w:r>
        <w:fldChar w:fldCharType="separate"/>
      </w:r>
      <w:r>
        <w:t>ACMVET405A Carry out surgical nursing routines</w:t>
      </w:r>
      <w:r>
        <w:fldChar w:fldCharType="end"/>
      </w:r>
    </w:p>
    <w:p w:rsidR="00EE4AFA" w:rsidP="00EE4AFA">
      <w:pPr>
        <w:pStyle w:val="Version"/>
        <w:sectPr w:rsidSect="00B175D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2</w:t>
      </w:r>
      <w:r>
        <w:fldChar w:fldCharType="end"/>
      </w:r>
    </w:p>
    <w:p w:rsidR="00000000" w:rsidRPr="00B175D4" w:rsidP="00B175D4">
      <w:pPr>
        <w:pStyle w:val="SuperHeading"/>
      </w:pPr>
      <w:r w:rsidRPr="00B175D4">
        <w:t>ACMVET405A Carry out surgical nursing routines</w:t>
      </w:r>
    </w:p>
    <w:p w:rsidR="00000000" w:rsidRPr="00B175D4" w:rsidP="00B175D4">
      <w:pPr>
        <w:pStyle w:val="SuperHeading"/>
      </w:pPr>
    </w:p>
    <w:p w:rsidR="00000000" w:rsidRPr="00B175D4" w:rsidP="00B175D4">
      <w:pPr>
        <w:pStyle w:val="Heading1"/>
      </w:pPr>
      <w:bookmarkStart w:id="1" w:name="O_508359"/>
      <w:bookmarkEnd w:id="1"/>
      <w:r w:rsidRPr="00B175D4">
        <w:t>Modification History</w:t>
      </w:r>
    </w:p>
    <w:tbl>
      <w:tblPr>
        <w:tblW w:w="0" w:type="auto"/>
        <w:tblLayout w:type="fixed"/>
        <w:tblCellMar>
          <w:left w:w="62" w:type="dxa"/>
          <w:right w:w="62" w:type="dxa"/>
        </w:tblCellMar>
        <w:tblLook w:val="0000"/>
      </w:tblPr>
      <w:tblGrid>
        <w:gridCol w:w="1741"/>
        <w:gridCol w:w="2247"/>
        <w:gridCol w:w="5084"/>
      </w:tblGrid>
      <w:tr w:rsidTr="00B175D4">
        <w:tblPrEx>
          <w:tblW w:w="0" w:type="auto"/>
          <w:tblLayout w:type="fixed"/>
          <w:tblCellMar>
            <w:left w:w="62" w:type="dxa"/>
            <w:right w:w="62" w:type="dxa"/>
          </w:tblCellMar>
          <w:tblLook w:val="0000"/>
        </w:tblPrEx>
        <w:trPr>
          <w:tblHeader/>
        </w:trPr>
        <w:tc>
          <w:tcPr>
            <w:tcW w:w="17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175D4" w:rsidP="00B175D4">
            <w:pPr>
              <w:pStyle w:val="BodyText"/>
            </w:pPr>
            <w:r w:rsidRPr="00B175D4">
              <w:rPr>
                <w:rStyle w:val="SpecialBold"/>
              </w:rPr>
              <w:t>Release</w:t>
            </w:r>
          </w:p>
        </w:tc>
        <w:tc>
          <w:tcPr>
            <w:tcW w:w="22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175D4" w:rsidP="00B175D4">
            <w:pPr>
              <w:pStyle w:val="BodyText"/>
            </w:pPr>
            <w:r w:rsidRPr="00B175D4">
              <w:rPr>
                <w:rStyle w:val="SpecialBold"/>
              </w:rPr>
              <w:t>TP Version</w:t>
            </w:r>
          </w:p>
        </w:tc>
        <w:tc>
          <w:tcPr>
            <w:tcW w:w="5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75D4">
            <w:pPr>
              <w:pStyle w:val="BodyText"/>
              <w:rPr>
                <w:lang w:val="en-NZ"/>
              </w:rPr>
            </w:pPr>
            <w:r w:rsidRPr="00B175D4">
              <w:rPr>
                <w:rStyle w:val="SpecialBold"/>
              </w:rPr>
              <w:t>Comments</w:t>
            </w:r>
          </w:p>
        </w:tc>
      </w:tr>
      <w:tr w:rsidTr="00B175D4">
        <w:tblPrEx>
          <w:tblW w:w="0" w:type="auto"/>
          <w:tblLayout w:type="fixed"/>
          <w:tblCellMar>
            <w:left w:w="62" w:type="dxa"/>
            <w:right w:w="62" w:type="dxa"/>
          </w:tblCellMar>
          <w:tblLook w:val="0000"/>
        </w:tblPrEx>
        <w:trPr>
          <w:tblHeader/>
        </w:trPr>
        <w:tc>
          <w:tcPr>
            <w:tcW w:w="17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75D4">
            <w:pPr>
              <w:pStyle w:val="BodyText"/>
              <w:rPr>
                <w:lang w:val="en-NZ"/>
              </w:rPr>
            </w:pPr>
            <w:r w:rsidRPr="00B175D4">
              <w:t>2</w:t>
            </w:r>
          </w:p>
        </w:tc>
        <w:tc>
          <w:tcPr>
            <w:tcW w:w="22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75D4">
            <w:pPr>
              <w:pStyle w:val="BodyText"/>
              <w:rPr>
                <w:lang w:val="en-NZ"/>
              </w:rPr>
            </w:pPr>
            <w:r w:rsidRPr="00B175D4">
              <w:t>ACM10v3</w:t>
            </w:r>
          </w:p>
        </w:tc>
        <w:tc>
          <w:tcPr>
            <w:tcW w:w="5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75D4">
            <w:pPr>
              <w:pStyle w:val="BodyText"/>
              <w:rPr>
                <w:lang w:val="en-NZ"/>
              </w:rPr>
            </w:pPr>
            <w:r w:rsidRPr="00B175D4">
              <w:t>Reference to OHS legislation replaced with generic terminology</w:t>
            </w:r>
          </w:p>
        </w:tc>
      </w:tr>
      <w:tr w:rsidTr="00B175D4">
        <w:tblPrEx>
          <w:tblW w:w="0" w:type="auto"/>
          <w:tblLayout w:type="fixed"/>
          <w:tblCellMar>
            <w:left w:w="62" w:type="dxa"/>
            <w:right w:w="62" w:type="dxa"/>
          </w:tblCellMar>
          <w:tblLook w:val="0000"/>
        </w:tblPrEx>
        <w:tc>
          <w:tcPr>
            <w:tcW w:w="17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75D4">
            <w:pPr>
              <w:pStyle w:val="BodyText"/>
              <w:rPr>
                <w:lang w:val="en-NZ"/>
              </w:rPr>
            </w:pPr>
            <w:r w:rsidRPr="00B175D4">
              <w:t>1</w:t>
            </w:r>
          </w:p>
        </w:tc>
        <w:tc>
          <w:tcPr>
            <w:tcW w:w="22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75D4">
            <w:pPr>
              <w:pStyle w:val="BodyText"/>
              <w:rPr>
                <w:lang w:val="en-NZ"/>
              </w:rPr>
            </w:pPr>
            <w:r w:rsidRPr="00B175D4">
              <w:t>ACM10v1</w:t>
            </w:r>
          </w:p>
        </w:tc>
        <w:tc>
          <w:tcPr>
            <w:tcW w:w="5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175D4" w:rsidP="00B175D4">
            <w:pPr>
              <w:pStyle w:val="BodyText"/>
            </w:pPr>
            <w:r w:rsidRPr="00B175D4">
              <w:t>Initial release. Supersedes and is equivalent to RUV4605A</w:t>
            </w:r>
          </w:p>
        </w:tc>
      </w:tr>
    </w:tbl>
    <w:p w:rsidR="00000000" w:rsidRPr="00B175D4" w:rsidP="00B175D4">
      <w:pPr>
        <w:pStyle w:val="BodyText"/>
      </w:pPr>
    </w:p>
    <w:p w:rsidR="00000000" w:rsidRPr="00B175D4" w:rsidP="00B175D4">
      <w:pPr>
        <w:pStyle w:val="AllowPageBreak"/>
      </w:pPr>
    </w:p>
    <w:p w:rsidR="00000000" w:rsidRPr="00B175D4" w:rsidP="00B175D4">
      <w:pPr>
        <w:pStyle w:val="Heading1"/>
      </w:pPr>
      <w:bookmarkStart w:id="2" w:name="O_508362"/>
      <w:bookmarkEnd w:id="2"/>
      <w:r w:rsidRPr="00B175D4">
        <w:t>Unit Descriptor</w:t>
      </w:r>
    </w:p>
    <w:p w:rsidR="00000000" w:rsidRPr="00B175D4" w:rsidP="00B175D4">
      <w:pPr>
        <w:pStyle w:val="BodyText"/>
      </w:pPr>
      <w:r w:rsidRPr="00B175D4">
        <w:t>This Unit of Competency covers the process of preparing the surgical environment and providing total support for the surgeon. The Unit describes the skills and knowledge required to prepare for, and provide support during and after, routine and non-routine</w:t>
      </w:r>
      <w:r w:rsidRPr="00B175D4">
        <w:t xml:space="preserve"> surgical procedures, including monitoring patients while they are under anaesthesia.</w:t>
      </w:r>
    </w:p>
    <w:p w:rsidR="00000000" w:rsidRPr="00B175D4" w:rsidP="00B175D4">
      <w:pPr>
        <w:pStyle w:val="AllowPageBreak"/>
      </w:pPr>
    </w:p>
    <w:p w:rsidR="00000000" w:rsidRPr="00B175D4" w:rsidP="00B175D4">
      <w:pPr>
        <w:pStyle w:val="Heading1"/>
      </w:pPr>
      <w:bookmarkStart w:id="3" w:name="O_508370"/>
      <w:bookmarkEnd w:id="3"/>
      <w:r w:rsidRPr="00B175D4">
        <w:t>Application of the Unit</w:t>
      </w:r>
    </w:p>
    <w:p w:rsidR="00000000" w:rsidRPr="00B175D4" w:rsidP="00B175D4">
      <w:pPr>
        <w:pStyle w:val="BodyText"/>
      </w:pPr>
      <w:r w:rsidRPr="00B175D4">
        <w:t>This Unit applies to a veterinary nurse working under supervision of a veterinarian in a veterinary clinic or similar practice. I</w:t>
      </w:r>
      <w:r w:rsidRPr="00B175D4">
        <w:t xml:space="preserve">n addition to legal and ethical responsibilities, all Units of Competency in the ACM10 Animal Care and Management Training Package have the requirement for animals to be handled gently and calmly. The individual is required to exhibit appropriate care for </w:t>
      </w:r>
      <w:r w:rsidRPr="00B175D4">
        <w:t>animals so that stress and discomfort is minimised.</w:t>
      </w:r>
    </w:p>
    <w:p w:rsidR="00000000" w:rsidRPr="00B175D4" w:rsidP="00B175D4">
      <w:pPr>
        <w:pStyle w:val="AllowPageBreak"/>
      </w:pPr>
    </w:p>
    <w:p w:rsidR="00000000" w:rsidRPr="00B175D4" w:rsidP="00B175D4">
      <w:pPr>
        <w:pStyle w:val="Heading1"/>
      </w:pPr>
      <w:bookmarkStart w:id="4" w:name="O_508361"/>
      <w:bookmarkEnd w:id="4"/>
      <w:r w:rsidRPr="00B175D4">
        <w:t>Licensing/Regulatory Information</w:t>
      </w:r>
    </w:p>
    <w:p w:rsidR="00000000" w:rsidRPr="00B175D4" w:rsidP="00B175D4">
      <w:pPr>
        <w:pStyle w:val="BodyText"/>
      </w:pPr>
      <w:r w:rsidRPr="00B175D4">
        <w:t xml:space="preserve">Licensing, legislative, regulatory or certification requirements may apply to this Unit. Therefore, it will be necessary to check with the relevant state </w:t>
      </w:r>
      <w:r w:rsidRPr="00B175D4">
        <w:t>or territory regulators for current licensing, legislative or regulatory requirements before undertaking this Unit.</w:t>
      </w:r>
    </w:p>
    <w:p w:rsidR="00000000" w:rsidRPr="00B175D4" w:rsidP="00B175D4">
      <w:pPr>
        <w:pStyle w:val="AllowPageBreak"/>
      </w:pPr>
    </w:p>
    <w:p w:rsidR="00000000" w:rsidRPr="00B175D4" w:rsidP="00B175D4">
      <w:pPr>
        <w:pStyle w:val="Heading1"/>
      </w:pPr>
      <w:bookmarkStart w:id="5" w:name="O_508363"/>
      <w:bookmarkEnd w:id="5"/>
      <w:r w:rsidRPr="00B175D4">
        <w:t>Pre-Requisites</w:t>
      </w:r>
    </w:p>
    <w:p w:rsidR="00000000" w:rsidRPr="00B175D4" w:rsidP="00B175D4">
      <w:pPr>
        <w:pStyle w:val="BodyText"/>
      </w:pPr>
      <w:r w:rsidRPr="00B175D4">
        <w:t>Nil.</w:t>
      </w:r>
    </w:p>
    <w:p w:rsidR="00000000" w:rsidRPr="00B175D4" w:rsidP="00B175D4">
      <w:pPr>
        <w:pStyle w:val="AllowPageBreak"/>
      </w:pPr>
    </w:p>
    <w:p w:rsidR="00000000" w:rsidRPr="00B175D4" w:rsidP="00B175D4">
      <w:pPr>
        <w:pStyle w:val="Heading1"/>
      </w:pPr>
      <w:bookmarkStart w:id="6" w:name="O_508365"/>
      <w:bookmarkEnd w:id="6"/>
      <w:r w:rsidRPr="00B175D4">
        <w:t>Employability Skills Information</w:t>
      </w:r>
    </w:p>
    <w:p w:rsidR="00000000" w:rsidRPr="00B175D4" w:rsidP="00B175D4">
      <w:pPr>
        <w:pStyle w:val="BodyText"/>
      </w:pPr>
      <w:r w:rsidRPr="00B175D4">
        <w:t>This Unit contains employability skills.</w:t>
      </w:r>
    </w:p>
    <w:p w:rsidR="00000000" w:rsidRPr="00B175D4" w:rsidP="00B175D4">
      <w:pPr>
        <w:pStyle w:val="AllowPageBreak"/>
      </w:pPr>
    </w:p>
    <w:p w:rsidR="00000000" w:rsidRPr="00B175D4" w:rsidP="00B175D4">
      <w:pPr>
        <w:pStyle w:val="Heading1"/>
      </w:pPr>
      <w:bookmarkStart w:id="7" w:name="O_508366"/>
      <w:bookmarkEnd w:id="7"/>
      <w:r w:rsidRPr="00B175D4">
        <w:t>Elements and Performance Criteria Pre-Content</w:t>
      </w:r>
    </w:p>
    <w:tbl>
      <w:tblPr>
        <w:tblW w:w="0" w:type="auto"/>
        <w:tblLayout w:type="fixed"/>
        <w:tblCellMar>
          <w:left w:w="62" w:type="dxa"/>
          <w:right w:w="62" w:type="dxa"/>
        </w:tblCellMar>
        <w:tblLook w:val="0000"/>
      </w:tblPr>
      <w:tblGrid>
        <w:gridCol w:w="2542"/>
        <w:gridCol w:w="5980"/>
      </w:tblGrid>
      <w:tr w:rsidTr="00EE4AFA">
        <w:tblPrEx>
          <w:tblW w:w="0" w:type="auto"/>
          <w:tblLayout w:type="fixed"/>
          <w:tblCellMar>
            <w:left w:w="62" w:type="dxa"/>
            <w:right w:w="62" w:type="dxa"/>
          </w:tblCellMar>
          <w:tblLook w:val="0000"/>
        </w:tblPrEx>
        <w:tc>
          <w:tcPr>
            <w:tcW w:w="2542" w:type="dxa"/>
            <w:tcBorders>
              <w:top w:val="nil"/>
              <w:left w:val="nil"/>
              <w:bottom w:val="nil"/>
              <w:right w:val="nil"/>
            </w:tcBorders>
            <w:tcMar>
              <w:top w:w="0" w:type="dxa"/>
              <w:left w:w="62" w:type="dxa"/>
              <w:bottom w:w="0" w:type="dxa"/>
              <w:right w:w="62" w:type="dxa"/>
            </w:tcMar>
          </w:tcPr>
          <w:p w:rsidR="00000000" w:rsidP="00B175D4">
            <w:pPr>
              <w:pStyle w:val="BodyText"/>
              <w:rPr>
                <w:lang w:val="en-NZ"/>
              </w:rPr>
            </w:pPr>
            <w:r w:rsidRPr="00B175D4">
              <w:t>Elements describe the essential outcomes of a Unit of Competency.</w:t>
            </w:r>
          </w:p>
        </w:tc>
        <w:tc>
          <w:tcPr>
            <w:tcW w:w="5980" w:type="dxa"/>
            <w:tcBorders>
              <w:top w:val="nil"/>
              <w:left w:val="nil"/>
              <w:bottom w:val="nil"/>
              <w:right w:val="nil"/>
            </w:tcBorders>
            <w:tcMar>
              <w:top w:w="0" w:type="dxa"/>
              <w:left w:w="62" w:type="dxa"/>
              <w:bottom w:w="0" w:type="dxa"/>
              <w:right w:w="62" w:type="dxa"/>
            </w:tcMar>
          </w:tcPr>
          <w:p w:rsidR="00000000" w:rsidRPr="00B175D4" w:rsidP="00B175D4">
            <w:pPr>
              <w:pStyle w:val="BodyText"/>
            </w:pPr>
            <w:r w:rsidRPr="00B175D4">
              <w:t>Performance criteria describe the performance needed to demonstrate achievement of the element. Where bold italicised text is used, further</w:t>
            </w:r>
            <w:r w:rsidRPr="00B175D4">
              <w:t xml:space="preserve"> information is detailed in the required skills and knowledge section and the range statement. Assessment of performance is to be consistent with the evidence guide.</w:t>
            </w:r>
          </w:p>
        </w:tc>
      </w:tr>
    </w:tbl>
    <w:p w:rsidR="00000000" w:rsidRPr="00B175D4" w:rsidP="00B175D4">
      <w:pPr>
        <w:pStyle w:val="BodyText"/>
      </w:pPr>
    </w:p>
    <w:p w:rsidR="00000000" w:rsidRPr="00B175D4" w:rsidP="00B175D4">
      <w:pPr>
        <w:pStyle w:val="AllowPageBreak"/>
      </w:pPr>
    </w:p>
    <w:p w:rsidR="00000000" w:rsidRPr="00B175D4" w:rsidP="00B175D4">
      <w:pPr>
        <w:pStyle w:val="Heading1"/>
      </w:pPr>
      <w:bookmarkStart w:id="8" w:name="O_508367"/>
      <w:bookmarkEnd w:id="8"/>
      <w:r w:rsidRPr="00B175D4">
        <w:t>Elements and Performance Criteria</w:t>
      </w:r>
    </w:p>
    <w:tbl>
      <w:tblPr>
        <w:tblW w:w="0" w:type="auto"/>
        <w:tblLayout w:type="fixed"/>
        <w:tblCellMar>
          <w:left w:w="62" w:type="dxa"/>
          <w:right w:w="62" w:type="dxa"/>
        </w:tblCellMar>
        <w:tblLook w:val="0000"/>
      </w:tblPr>
      <w:tblGrid>
        <w:gridCol w:w="2542"/>
        <w:gridCol w:w="5980"/>
      </w:tblGrid>
      <w:tr w:rsidTr="00EE4AFA">
        <w:tblPrEx>
          <w:tblW w:w="0" w:type="auto"/>
          <w:tblLayout w:type="fixed"/>
          <w:tblCellMar>
            <w:left w:w="62" w:type="dxa"/>
            <w:right w:w="62" w:type="dxa"/>
          </w:tblCellMar>
          <w:tblLook w:val="0000"/>
        </w:tblPrEx>
        <w:trPr>
          <w:tblHeader/>
        </w:trPr>
        <w:tc>
          <w:tcPr>
            <w:tcW w:w="2542" w:type="dxa"/>
            <w:tcBorders>
              <w:top w:val="nil"/>
              <w:left w:val="nil"/>
              <w:bottom w:val="nil"/>
              <w:right w:val="nil"/>
            </w:tcBorders>
            <w:tcMar>
              <w:top w:w="0" w:type="dxa"/>
              <w:left w:w="62" w:type="dxa"/>
              <w:bottom w:w="0" w:type="dxa"/>
              <w:right w:w="62" w:type="dxa"/>
            </w:tcMar>
          </w:tcPr>
          <w:p w:rsidR="00000000" w:rsidP="00B175D4">
            <w:pPr>
              <w:pStyle w:val="TableHeading"/>
              <w:rPr>
                <w:lang w:val="en-NZ"/>
              </w:rPr>
            </w:pPr>
            <w:r w:rsidRPr="00B175D4">
              <w:t>ELEMENT</w:t>
            </w:r>
          </w:p>
        </w:tc>
        <w:tc>
          <w:tcPr>
            <w:tcW w:w="5980" w:type="dxa"/>
            <w:tcBorders>
              <w:top w:val="nil"/>
              <w:left w:val="nil"/>
              <w:bottom w:val="nil"/>
              <w:right w:val="nil"/>
            </w:tcBorders>
            <w:tcMar>
              <w:top w:w="0" w:type="dxa"/>
              <w:left w:w="62" w:type="dxa"/>
              <w:bottom w:w="0" w:type="dxa"/>
              <w:right w:w="62" w:type="dxa"/>
            </w:tcMar>
          </w:tcPr>
          <w:p w:rsidR="00000000" w:rsidP="00B175D4">
            <w:pPr>
              <w:pStyle w:val="TableHeading"/>
              <w:rPr>
                <w:lang w:val="en-NZ"/>
              </w:rPr>
            </w:pPr>
            <w:r w:rsidRPr="00B175D4">
              <w:t>PERFORMANCE CRITERIA</w:t>
            </w:r>
          </w:p>
        </w:tc>
      </w:tr>
      <w:tr w:rsidTr="00EE4AFA">
        <w:tblPrEx>
          <w:tblW w:w="0" w:type="auto"/>
          <w:tblLayout w:type="fixed"/>
          <w:tblCellMar>
            <w:left w:w="62" w:type="dxa"/>
            <w:right w:w="62" w:type="dxa"/>
          </w:tblCellMar>
          <w:tblLook w:val="0000"/>
        </w:tblPrEx>
        <w:tc>
          <w:tcPr>
            <w:tcW w:w="2542" w:type="dxa"/>
            <w:tcBorders>
              <w:top w:val="nil"/>
              <w:left w:val="nil"/>
              <w:bottom w:val="nil"/>
              <w:right w:val="nil"/>
            </w:tcBorders>
            <w:tcMar>
              <w:top w:w="0" w:type="dxa"/>
              <w:left w:w="62" w:type="dxa"/>
              <w:bottom w:w="0" w:type="dxa"/>
              <w:right w:w="62" w:type="dxa"/>
            </w:tcMar>
          </w:tcPr>
          <w:p w:rsidR="00000000" w:rsidP="00B175D4">
            <w:pPr>
              <w:pStyle w:val="List"/>
              <w:rPr>
                <w:lang w:val="en-NZ"/>
              </w:rPr>
            </w:pPr>
            <w:r w:rsidRPr="00B175D4">
              <w:t>1.</w:t>
            </w:r>
            <w:r w:rsidRPr="00B175D4">
              <w:tab/>
            </w:r>
            <w:r w:rsidRPr="00B175D4">
              <w:t xml:space="preserve">Prepare for </w:t>
            </w:r>
            <w:r w:rsidRPr="00B175D4">
              <w:rPr>
                <w:rStyle w:val="BoldandItalics"/>
              </w:rPr>
              <w:t>surgical procedures</w:t>
            </w:r>
          </w:p>
        </w:tc>
        <w:tc>
          <w:tcPr>
            <w:tcW w:w="5980" w:type="dxa"/>
            <w:tcBorders>
              <w:top w:val="nil"/>
              <w:left w:val="nil"/>
              <w:bottom w:val="nil"/>
              <w:right w:val="nil"/>
            </w:tcBorders>
            <w:tcMar>
              <w:top w:w="0" w:type="dxa"/>
              <w:left w:w="62" w:type="dxa"/>
              <w:bottom w:w="0" w:type="dxa"/>
              <w:right w:w="62" w:type="dxa"/>
            </w:tcMar>
          </w:tcPr>
          <w:p w:rsidR="00000000" w:rsidRPr="00B175D4" w:rsidP="00B175D4">
            <w:pPr>
              <w:pStyle w:val="List2"/>
            </w:pPr>
            <w:r w:rsidRPr="00B175D4">
              <w:t>1.1.</w:t>
            </w:r>
            <w:r w:rsidRPr="00B175D4">
              <w:tab/>
              <w:t xml:space="preserve">Consent forms are completed in cooperation with owners and </w:t>
            </w:r>
            <w:r w:rsidRPr="00B175D4">
              <w:rPr>
                <w:rStyle w:val="BoldandItalics"/>
              </w:rPr>
              <w:t>pre</w:t>
            </w:r>
            <w:r w:rsidRPr="00B175D4">
              <w:t>-</w:t>
            </w:r>
            <w:r w:rsidRPr="00B175D4">
              <w:rPr>
                <w:rStyle w:val="BoldandItalics"/>
              </w:rPr>
              <w:t>operative care advice</w:t>
            </w:r>
            <w:r w:rsidRPr="00B175D4">
              <w:t xml:space="preserve"> is provided in consultation with the veterinarian</w:t>
            </w:r>
          </w:p>
          <w:p w:rsidR="00000000" w:rsidRPr="00B175D4" w:rsidP="00B175D4">
            <w:pPr>
              <w:pStyle w:val="List2"/>
            </w:pPr>
            <w:r w:rsidRPr="00B175D4">
              <w:t>1.2.</w:t>
            </w:r>
            <w:r w:rsidRPr="00B175D4">
              <w:tab/>
              <w:t>Surgery equipment suitable for the species is selected and prepared ready for t</w:t>
            </w:r>
            <w:r w:rsidRPr="00B175D4">
              <w:t xml:space="preserve">he surgeon in accordance with </w:t>
            </w:r>
            <w:r w:rsidRPr="00B175D4">
              <w:rPr>
                <w:rStyle w:val="BoldandItalics"/>
              </w:rPr>
              <w:t>workplace health and safety</w:t>
            </w:r>
            <w:r w:rsidRPr="00B175D4">
              <w:t xml:space="preserve"> and clinic policies and procedures.</w:t>
            </w:r>
          </w:p>
          <w:p w:rsidR="00000000" w:rsidRPr="00B175D4" w:rsidP="00B175D4">
            <w:pPr>
              <w:pStyle w:val="List2"/>
            </w:pPr>
            <w:r w:rsidRPr="00B175D4">
              <w:t>1.3.</w:t>
            </w:r>
            <w:r w:rsidRPr="00B175D4">
              <w:tab/>
            </w:r>
            <w:r w:rsidRPr="00B175D4">
              <w:rPr>
                <w:rStyle w:val="BoldandItalics"/>
              </w:rPr>
              <w:t>Surgical packs</w:t>
            </w:r>
            <w:r w:rsidRPr="00B175D4">
              <w:t xml:space="preserve"> are sourced for scheduled procedures. </w:t>
            </w:r>
          </w:p>
          <w:p w:rsidR="00000000" w:rsidRPr="00B175D4" w:rsidP="00B175D4">
            <w:pPr>
              <w:pStyle w:val="List2"/>
            </w:pPr>
            <w:r w:rsidRPr="00B175D4">
              <w:t>1.4.</w:t>
            </w:r>
            <w:r w:rsidRPr="00B175D4">
              <w:tab/>
            </w:r>
            <w:r w:rsidRPr="00B175D4">
              <w:rPr>
                <w:rStyle w:val="BoldandItalics"/>
              </w:rPr>
              <w:t>Pre</w:t>
            </w:r>
            <w:r w:rsidRPr="00B175D4">
              <w:t>-</w:t>
            </w:r>
            <w:r w:rsidRPr="00B175D4">
              <w:rPr>
                <w:rStyle w:val="BoldandItalics"/>
              </w:rPr>
              <w:t>operative processes</w:t>
            </w:r>
            <w:r w:rsidRPr="00B175D4">
              <w:t xml:space="preserve"> are carried out in accordance with required procedures and industry standards. </w:t>
            </w:r>
          </w:p>
          <w:p w:rsidR="00000000" w:rsidP="00B175D4">
            <w:pPr>
              <w:pStyle w:val="List2"/>
              <w:rPr>
                <w:lang w:val="en-NZ"/>
              </w:rPr>
            </w:pPr>
            <w:r w:rsidRPr="00B175D4">
              <w:t>1.5.</w:t>
            </w:r>
            <w:r w:rsidRPr="00B175D4">
              <w:tab/>
              <w:t>Safe work practices are adopted and practised as an integral part of the clinic's theatre procedures.</w:t>
            </w:r>
          </w:p>
        </w:tc>
      </w:tr>
      <w:tr w:rsidTr="00EE4AFA">
        <w:tblPrEx>
          <w:tblW w:w="0" w:type="auto"/>
          <w:tblLayout w:type="fixed"/>
          <w:tblCellMar>
            <w:left w:w="62" w:type="dxa"/>
            <w:right w:w="62" w:type="dxa"/>
          </w:tblCellMar>
          <w:tblLook w:val="0000"/>
        </w:tblPrEx>
        <w:tc>
          <w:tcPr>
            <w:tcW w:w="2542" w:type="dxa"/>
            <w:tcBorders>
              <w:top w:val="nil"/>
              <w:left w:val="nil"/>
              <w:bottom w:val="nil"/>
              <w:right w:val="nil"/>
            </w:tcBorders>
            <w:tcMar>
              <w:top w:w="0" w:type="dxa"/>
              <w:left w:w="62" w:type="dxa"/>
              <w:bottom w:w="0" w:type="dxa"/>
              <w:right w:w="62" w:type="dxa"/>
            </w:tcMar>
          </w:tcPr>
          <w:p w:rsidR="00000000" w:rsidP="00B175D4">
            <w:pPr>
              <w:pStyle w:val="List"/>
              <w:rPr>
                <w:lang w:val="en-NZ"/>
              </w:rPr>
            </w:pPr>
            <w:r w:rsidRPr="00B175D4">
              <w:t>2.</w:t>
            </w:r>
            <w:r w:rsidRPr="00B175D4">
              <w:tab/>
              <w:t>Provide support for surgical routines</w:t>
            </w:r>
          </w:p>
        </w:tc>
        <w:tc>
          <w:tcPr>
            <w:tcW w:w="5980" w:type="dxa"/>
            <w:tcBorders>
              <w:top w:val="nil"/>
              <w:left w:val="nil"/>
              <w:bottom w:val="nil"/>
              <w:right w:val="nil"/>
            </w:tcBorders>
            <w:tcMar>
              <w:top w:w="0" w:type="dxa"/>
              <w:left w:w="62" w:type="dxa"/>
              <w:bottom w:w="0" w:type="dxa"/>
              <w:right w:w="62" w:type="dxa"/>
            </w:tcMar>
          </w:tcPr>
          <w:p w:rsidR="00000000" w:rsidRPr="00B175D4" w:rsidP="00B175D4">
            <w:pPr>
              <w:pStyle w:val="List2"/>
            </w:pPr>
            <w:r w:rsidRPr="00B175D4">
              <w:t>2.1.</w:t>
            </w:r>
            <w:r w:rsidRPr="00B175D4">
              <w:tab/>
            </w:r>
            <w:r w:rsidRPr="00B175D4">
              <w:rPr>
                <w:rStyle w:val="BoldandItalics"/>
              </w:rPr>
              <w:t>Animals are prepared</w:t>
            </w:r>
            <w:r w:rsidRPr="00B175D4">
              <w:t xml:space="preserve"> for anaesthesia and the surgical procedure in accordance with clinic policies and procedures. </w:t>
            </w:r>
          </w:p>
          <w:p w:rsidR="00000000" w:rsidRPr="00B175D4" w:rsidP="00B175D4">
            <w:pPr>
              <w:pStyle w:val="List2"/>
            </w:pPr>
            <w:r w:rsidRPr="00B175D4">
              <w:t>2.2.</w:t>
            </w:r>
            <w:r w:rsidRPr="00B175D4">
              <w:tab/>
            </w:r>
            <w:r w:rsidRPr="00B175D4">
              <w:rPr>
                <w:rStyle w:val="BoldandItalics"/>
              </w:rPr>
              <w:t>Analgesics</w:t>
            </w:r>
            <w:r w:rsidRPr="00B175D4">
              <w:t xml:space="preserve"> are administered to patients as directed by the veterinarian and in accordance with legislative requirements. </w:t>
            </w:r>
          </w:p>
          <w:p w:rsidR="00000000" w:rsidRPr="00B175D4" w:rsidP="00B175D4">
            <w:pPr>
              <w:pStyle w:val="List2"/>
            </w:pPr>
            <w:r w:rsidRPr="00B175D4">
              <w:t>2.3.</w:t>
            </w:r>
            <w:r w:rsidRPr="00B175D4">
              <w:tab/>
              <w:t>Animals are held, restrained</w:t>
            </w:r>
            <w:r w:rsidRPr="00B175D4">
              <w:t xml:space="preserve"> or positioned during the operation and administration of anaesthesia as instructed. </w:t>
            </w:r>
          </w:p>
          <w:p w:rsidR="00000000" w:rsidRPr="00B175D4" w:rsidP="00B175D4">
            <w:pPr>
              <w:pStyle w:val="List2"/>
            </w:pPr>
            <w:r w:rsidRPr="00B175D4">
              <w:t>2.4.</w:t>
            </w:r>
            <w:r w:rsidRPr="00B175D4">
              <w:tab/>
            </w:r>
            <w:r w:rsidRPr="00B175D4">
              <w:rPr>
                <w:rStyle w:val="BoldandItalics"/>
              </w:rPr>
              <w:t>Sterile</w:t>
            </w:r>
            <w:r w:rsidRPr="00B175D4">
              <w:t xml:space="preserve"> and/or non-sterile assistance is provided to the veterinarian as instructed. </w:t>
            </w:r>
          </w:p>
          <w:p w:rsidR="00000000" w:rsidP="00B175D4">
            <w:pPr>
              <w:pStyle w:val="List2"/>
              <w:rPr>
                <w:lang w:val="en-NZ"/>
              </w:rPr>
            </w:pPr>
            <w:r w:rsidRPr="00B175D4">
              <w:t>2.5.</w:t>
            </w:r>
            <w:r w:rsidRPr="00B175D4">
              <w:tab/>
            </w:r>
            <w:r w:rsidRPr="00B175D4">
              <w:rPr>
                <w:rStyle w:val="BoldandItalics"/>
              </w:rPr>
              <w:t>Routines</w:t>
            </w:r>
            <w:r w:rsidRPr="00B175D4">
              <w:t xml:space="preserve"> are carried out and theatre equipment is provided to the veterina</w:t>
            </w:r>
            <w:r w:rsidRPr="00B175D4">
              <w:t>rian as instructed.</w:t>
            </w:r>
          </w:p>
        </w:tc>
      </w:tr>
      <w:tr w:rsidTr="00EE4AFA">
        <w:tblPrEx>
          <w:tblW w:w="0" w:type="auto"/>
          <w:tblLayout w:type="fixed"/>
          <w:tblCellMar>
            <w:left w:w="62" w:type="dxa"/>
            <w:right w:w="62" w:type="dxa"/>
          </w:tblCellMar>
          <w:tblLook w:val="0000"/>
        </w:tblPrEx>
        <w:tc>
          <w:tcPr>
            <w:tcW w:w="2542" w:type="dxa"/>
            <w:tcBorders>
              <w:top w:val="nil"/>
              <w:left w:val="nil"/>
              <w:bottom w:val="nil"/>
              <w:right w:val="nil"/>
            </w:tcBorders>
            <w:tcMar>
              <w:top w:w="0" w:type="dxa"/>
              <w:left w:w="62" w:type="dxa"/>
              <w:bottom w:w="0" w:type="dxa"/>
              <w:right w:w="62" w:type="dxa"/>
            </w:tcMar>
          </w:tcPr>
          <w:p w:rsidR="00000000" w:rsidP="00B175D4">
            <w:pPr>
              <w:pStyle w:val="List"/>
              <w:rPr>
                <w:lang w:val="en-NZ"/>
              </w:rPr>
            </w:pPr>
            <w:r w:rsidRPr="00B175D4">
              <w:t>3.</w:t>
            </w:r>
            <w:r w:rsidRPr="00B175D4">
              <w:tab/>
              <w:t>Monitor patients and anaesthesia</w:t>
            </w:r>
          </w:p>
        </w:tc>
        <w:tc>
          <w:tcPr>
            <w:tcW w:w="5980" w:type="dxa"/>
            <w:tcBorders>
              <w:top w:val="nil"/>
              <w:left w:val="nil"/>
              <w:bottom w:val="nil"/>
              <w:right w:val="nil"/>
            </w:tcBorders>
            <w:tcMar>
              <w:top w:w="0" w:type="dxa"/>
              <w:left w:w="62" w:type="dxa"/>
              <w:bottom w:w="0" w:type="dxa"/>
              <w:right w:w="62" w:type="dxa"/>
            </w:tcMar>
          </w:tcPr>
          <w:p w:rsidR="00000000" w:rsidRPr="00B175D4" w:rsidP="00B175D4">
            <w:pPr>
              <w:pStyle w:val="List2"/>
            </w:pPr>
            <w:r w:rsidRPr="00B175D4">
              <w:t>3.1.</w:t>
            </w:r>
            <w:r w:rsidRPr="00B175D4">
              <w:tab/>
            </w:r>
            <w:r w:rsidRPr="00B175D4">
              <w:rPr>
                <w:rStyle w:val="BoldandItalics"/>
              </w:rPr>
              <w:t>Anaesthesia</w:t>
            </w:r>
            <w:r w:rsidRPr="00B175D4">
              <w:t xml:space="preserve"> induction and maintenance is continually monitored under veterinary supervision. </w:t>
            </w:r>
          </w:p>
          <w:p w:rsidR="00000000" w:rsidRPr="00B175D4" w:rsidP="00B175D4">
            <w:pPr>
              <w:pStyle w:val="List2"/>
            </w:pPr>
            <w:r w:rsidRPr="00B175D4">
              <w:t>3.2.</w:t>
            </w:r>
            <w:r w:rsidRPr="00B175D4">
              <w:tab/>
              <w:t>Endotracheal intubation is completed in accordance with clinic policy.</w:t>
            </w:r>
          </w:p>
          <w:p w:rsidR="00000000" w:rsidRPr="00B175D4" w:rsidP="00B175D4">
            <w:pPr>
              <w:pStyle w:val="List2"/>
            </w:pPr>
            <w:r w:rsidRPr="00B175D4">
              <w:t>3.3.</w:t>
            </w:r>
            <w:r w:rsidRPr="00B175D4">
              <w:tab/>
            </w:r>
            <w:r w:rsidRPr="00B175D4">
              <w:rPr>
                <w:rStyle w:val="BoldandItalics"/>
              </w:rPr>
              <w:t>Pain and vital sign</w:t>
            </w:r>
            <w:r w:rsidRPr="00B175D4">
              <w:rPr>
                <w:rStyle w:val="BoldandItalics"/>
              </w:rPr>
              <w:t>s</w:t>
            </w:r>
            <w:r w:rsidRPr="00B175D4">
              <w:t xml:space="preserve"> are monitored and recorded as instructed from premedication to anaesthesia through to recovery.</w:t>
            </w:r>
          </w:p>
          <w:p w:rsidR="00000000" w:rsidRPr="00B175D4" w:rsidP="00B175D4">
            <w:pPr>
              <w:pStyle w:val="List2"/>
            </w:pPr>
            <w:r w:rsidRPr="00B175D4">
              <w:t>3.4.</w:t>
            </w:r>
            <w:r w:rsidRPr="00B175D4">
              <w:tab/>
              <w:t xml:space="preserve">Anaesthetic depth is assessed and response is initiated in accordance with clinic policies and procedures. </w:t>
            </w:r>
          </w:p>
          <w:p w:rsidR="00000000" w:rsidRPr="00B175D4" w:rsidP="00B175D4">
            <w:pPr>
              <w:pStyle w:val="List2"/>
            </w:pPr>
            <w:r w:rsidRPr="00B175D4">
              <w:t>3.5.</w:t>
            </w:r>
            <w:r w:rsidRPr="00B175D4">
              <w:tab/>
            </w:r>
            <w:r w:rsidRPr="00B175D4">
              <w:rPr>
                <w:rStyle w:val="BoldandItalics"/>
              </w:rPr>
              <w:t>Emergency procedures</w:t>
            </w:r>
            <w:r w:rsidRPr="00B175D4">
              <w:t xml:space="preserve"> are followed in acc</w:t>
            </w:r>
            <w:r w:rsidRPr="00B175D4">
              <w:t xml:space="preserve">ordance with clinic policy. </w:t>
            </w:r>
          </w:p>
          <w:p w:rsidR="00000000" w:rsidP="00B175D4">
            <w:pPr>
              <w:pStyle w:val="List2"/>
              <w:rPr>
                <w:lang w:val="en-NZ"/>
              </w:rPr>
            </w:pPr>
            <w:r w:rsidRPr="00B175D4">
              <w:t>3.6.</w:t>
            </w:r>
            <w:r w:rsidRPr="00B175D4">
              <w:tab/>
            </w:r>
            <w:r w:rsidRPr="00B175D4">
              <w:rPr>
                <w:rStyle w:val="BoldandItalics"/>
              </w:rPr>
              <w:t>Post</w:t>
            </w:r>
            <w:r w:rsidRPr="00B175D4">
              <w:t>-</w:t>
            </w:r>
            <w:r w:rsidRPr="00B175D4">
              <w:rPr>
                <w:rStyle w:val="BoldandItalics"/>
              </w:rPr>
              <w:t>operative anaesthesia procedures</w:t>
            </w:r>
            <w:r w:rsidRPr="00B175D4">
              <w:t xml:space="preserve"> are completed in accordance with clinic policy.</w:t>
            </w:r>
          </w:p>
        </w:tc>
      </w:tr>
      <w:tr w:rsidTr="00EE4AFA">
        <w:tblPrEx>
          <w:tblW w:w="0" w:type="auto"/>
          <w:tblLayout w:type="fixed"/>
          <w:tblCellMar>
            <w:left w:w="62" w:type="dxa"/>
            <w:right w:w="62" w:type="dxa"/>
          </w:tblCellMar>
          <w:tblLook w:val="0000"/>
        </w:tblPrEx>
        <w:tc>
          <w:tcPr>
            <w:tcW w:w="2542" w:type="dxa"/>
            <w:tcBorders>
              <w:top w:val="nil"/>
              <w:left w:val="nil"/>
              <w:bottom w:val="nil"/>
              <w:right w:val="nil"/>
            </w:tcBorders>
            <w:tcMar>
              <w:top w:w="0" w:type="dxa"/>
              <w:left w:w="62" w:type="dxa"/>
              <w:bottom w:w="0" w:type="dxa"/>
              <w:right w:w="62" w:type="dxa"/>
            </w:tcMar>
          </w:tcPr>
          <w:p w:rsidR="00000000" w:rsidP="00B175D4">
            <w:pPr>
              <w:pStyle w:val="List"/>
              <w:rPr>
                <w:lang w:val="en-NZ"/>
              </w:rPr>
            </w:pPr>
            <w:r w:rsidRPr="00B175D4">
              <w:t>4.</w:t>
            </w:r>
            <w:r w:rsidRPr="00B175D4">
              <w:tab/>
              <w:t>Perform post-operative procedures</w:t>
            </w:r>
          </w:p>
        </w:tc>
        <w:tc>
          <w:tcPr>
            <w:tcW w:w="5980" w:type="dxa"/>
            <w:tcBorders>
              <w:top w:val="nil"/>
              <w:left w:val="nil"/>
              <w:bottom w:val="nil"/>
              <w:right w:val="nil"/>
            </w:tcBorders>
            <w:tcMar>
              <w:top w:w="0" w:type="dxa"/>
              <w:left w:w="62" w:type="dxa"/>
              <w:bottom w:w="0" w:type="dxa"/>
              <w:right w:w="62" w:type="dxa"/>
            </w:tcMar>
          </w:tcPr>
          <w:p w:rsidR="00000000" w:rsidRPr="00B175D4" w:rsidP="00B175D4">
            <w:pPr>
              <w:pStyle w:val="List2"/>
            </w:pPr>
            <w:r w:rsidRPr="00B175D4">
              <w:t>4.1.</w:t>
            </w:r>
            <w:r w:rsidRPr="00B175D4">
              <w:tab/>
              <w:t xml:space="preserve">Wound or surgical site is monitored post-operatively for signs of </w:t>
            </w:r>
            <w:r w:rsidRPr="00B175D4">
              <w:rPr>
                <w:rStyle w:val="BoldandItalics"/>
              </w:rPr>
              <w:t>abnormality</w:t>
            </w:r>
            <w:r w:rsidRPr="00B175D4">
              <w:t>.</w:t>
            </w:r>
          </w:p>
          <w:p w:rsidR="00000000" w:rsidRPr="00B175D4" w:rsidP="00B175D4">
            <w:pPr>
              <w:pStyle w:val="List2"/>
            </w:pPr>
            <w:r w:rsidRPr="00B175D4">
              <w:t>4.2.</w:t>
            </w:r>
            <w:r w:rsidRPr="00B175D4">
              <w:tab/>
              <w:t xml:space="preserve">Defined </w:t>
            </w:r>
            <w:r w:rsidRPr="00B175D4">
              <w:rPr>
                <w:rStyle w:val="BoldandItalics"/>
              </w:rPr>
              <w:t>p</w:t>
            </w:r>
            <w:r w:rsidRPr="00B175D4">
              <w:rPr>
                <w:rStyle w:val="BoldandItalics"/>
              </w:rPr>
              <w:t>ost</w:t>
            </w:r>
            <w:r w:rsidRPr="00B175D4">
              <w:t>-</w:t>
            </w:r>
            <w:r w:rsidRPr="00B175D4">
              <w:rPr>
                <w:rStyle w:val="BoldandItalics"/>
              </w:rPr>
              <w:t>operative patient management procedures</w:t>
            </w:r>
            <w:r w:rsidRPr="00B175D4">
              <w:t xml:space="preserve"> are carried out in accordance with the veterinarian's instructions.</w:t>
            </w:r>
          </w:p>
          <w:p w:rsidR="00000000" w:rsidRPr="00B175D4" w:rsidP="00B175D4">
            <w:pPr>
              <w:pStyle w:val="List2"/>
            </w:pPr>
            <w:r w:rsidRPr="00B175D4">
              <w:t>4.3.</w:t>
            </w:r>
            <w:r w:rsidRPr="00B175D4">
              <w:tab/>
              <w:t>Post-operative advice is provided to the animal owner in accordance with the veterinarian's instructions.</w:t>
            </w:r>
          </w:p>
        </w:tc>
      </w:tr>
    </w:tbl>
    <w:p w:rsidR="00000000" w:rsidRPr="00B175D4" w:rsidP="00B175D4">
      <w:pPr>
        <w:pStyle w:val="BodyText"/>
      </w:pPr>
    </w:p>
    <w:p w:rsidR="00000000" w:rsidRPr="00B175D4" w:rsidP="00B175D4">
      <w:pPr>
        <w:pStyle w:val="AllowPageBreak"/>
      </w:pPr>
    </w:p>
    <w:p w:rsidR="00000000" w:rsidRPr="00B175D4" w:rsidP="00B175D4">
      <w:pPr>
        <w:pStyle w:val="Heading1"/>
      </w:pPr>
      <w:bookmarkStart w:id="9" w:name="O_508364"/>
      <w:bookmarkEnd w:id="9"/>
      <w:r w:rsidRPr="00B175D4">
        <w:t>Required Skills and Knowledge</w:t>
      </w:r>
    </w:p>
    <w:tbl>
      <w:tblPr>
        <w:tblW w:w="0" w:type="auto"/>
        <w:tblLayout w:type="fixed"/>
        <w:tblCellMar>
          <w:left w:w="62" w:type="dxa"/>
          <w:right w:w="62" w:type="dxa"/>
        </w:tblCellMar>
        <w:tblLook w:val="0000"/>
      </w:tblPr>
      <w:tblGrid>
        <w:gridCol w:w="8522"/>
      </w:tblGrid>
      <w:tr w:rsidTr="00EE4AFA">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B175D4">
            <w:pPr>
              <w:pStyle w:val="BodyText"/>
              <w:rPr>
                <w:lang w:val="en-NZ"/>
              </w:rPr>
            </w:pPr>
            <w:r w:rsidRPr="00B175D4">
              <w:t>This section describes the skills and knowledge required for this Unit.</w:t>
            </w:r>
          </w:p>
        </w:tc>
      </w:tr>
      <w:tr w:rsidTr="00EE4AFA">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B175D4">
            <w:pPr>
              <w:pStyle w:val="TableHeading"/>
              <w:rPr>
                <w:lang w:val="en-NZ"/>
              </w:rPr>
            </w:pPr>
            <w:r w:rsidRPr="00B175D4">
              <w:t>Required skills</w:t>
            </w:r>
          </w:p>
        </w:tc>
      </w:tr>
      <w:tr w:rsidTr="00EE4AFA">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B175D4" w:rsidP="00B175D4">
            <w:pPr>
              <w:pStyle w:val="BodyText"/>
            </w:pPr>
            <w:r w:rsidRPr="00B175D4">
              <w:rPr>
                <w:rStyle w:val="SpecialBold"/>
              </w:rPr>
              <w:t>Ability to:</w:t>
            </w:r>
          </w:p>
          <w:p w:rsidR="00000000" w:rsidRPr="00B175D4" w:rsidP="00B175D4">
            <w:pPr>
              <w:pStyle w:val="ListBullet"/>
            </w:pPr>
            <w:r w:rsidRPr="00B175D4">
              <w:t>assist the veterinarian safely and effectively as directed</w:t>
            </w:r>
          </w:p>
          <w:p w:rsidR="00000000" w:rsidRPr="00B175D4" w:rsidP="00B175D4">
            <w:pPr>
              <w:pStyle w:val="ListBullet"/>
            </w:pPr>
            <w:r w:rsidRPr="00B175D4">
              <w:t>clean and sterilise surgical equipment as required</w:t>
            </w:r>
          </w:p>
          <w:p w:rsidR="00000000" w:rsidRPr="00B175D4" w:rsidP="00B175D4">
            <w:pPr>
              <w:pStyle w:val="ListBullet"/>
            </w:pPr>
            <w:r w:rsidRPr="00B175D4">
              <w:t>employ keen observation skills</w:t>
            </w:r>
          </w:p>
          <w:p w:rsidR="00000000" w:rsidRPr="00B175D4" w:rsidP="00B175D4">
            <w:pPr>
              <w:pStyle w:val="ListBullet"/>
            </w:pPr>
            <w:r w:rsidRPr="00B175D4">
              <w:t>follow workplace health and safety and clinic policies and procedures</w:t>
            </w:r>
          </w:p>
          <w:p w:rsidR="00000000" w:rsidRPr="00B175D4" w:rsidP="00B175D4">
            <w:pPr>
              <w:pStyle w:val="ListBullet"/>
            </w:pPr>
            <w:r w:rsidRPr="00B175D4">
              <w:t>handle animals safely and ensure their health and welfare are maintained in accordance with organisational and legislative requirements</w:t>
            </w:r>
          </w:p>
          <w:p w:rsidR="00000000" w:rsidRPr="00B175D4" w:rsidP="00B175D4">
            <w:pPr>
              <w:pStyle w:val="ListBullet"/>
            </w:pPr>
            <w:r w:rsidRPr="00B175D4">
              <w:t xml:space="preserve">recognise, respond </w:t>
            </w:r>
            <w:r w:rsidRPr="00B175D4">
              <w:t>to and assist with emergencies</w:t>
            </w:r>
          </w:p>
          <w:p w:rsidR="00000000" w:rsidRPr="00B175D4" w:rsidP="00B175D4">
            <w:pPr>
              <w:pStyle w:val="ListBullet"/>
            </w:pPr>
            <w:r w:rsidRPr="00B175D4">
              <w:t>use, record, store and dispose of chemicals and medicines in accordance with relevant state or territory legislation</w:t>
            </w:r>
          </w:p>
          <w:p w:rsidR="00000000" w:rsidRPr="00B175D4" w:rsidP="00B175D4">
            <w:pPr>
              <w:pStyle w:val="ListBullet"/>
            </w:pPr>
            <w:r w:rsidRPr="00B175D4">
              <w:t>use literacy skills to read, select and implement policies and procedures, including workplace health and sa</w:t>
            </w:r>
            <w:r w:rsidRPr="00B175D4">
              <w:t>fety, infection control and other clinic policies and procedures; coordinate patient admission and discharge; implement sequenced written instructions; and record patient details accurately and legibly</w:t>
            </w:r>
          </w:p>
          <w:p w:rsidR="00000000" w:rsidRPr="00B175D4" w:rsidP="00B175D4">
            <w:pPr>
              <w:pStyle w:val="ListBullet"/>
            </w:pPr>
            <w:r w:rsidRPr="00B175D4">
              <w:t>use interpersonal skills to relate to people from a ra</w:t>
            </w:r>
            <w:r w:rsidRPr="00B175D4">
              <w:t>nge of social, cultural and ethnic backgrounds and with a range of physical and mental abilities</w:t>
            </w:r>
          </w:p>
          <w:p w:rsidR="00000000" w:rsidRPr="00B175D4" w:rsidP="00B175D4">
            <w:pPr>
              <w:pStyle w:val="ListBullet"/>
            </w:pPr>
            <w:r w:rsidRPr="00B175D4">
              <w:t>use oral communication skills/language required to fulfil the job role as specified by the clinic, including negotiating and questioning techniques, active lis</w:t>
            </w:r>
            <w:r w:rsidRPr="00B175D4">
              <w:t>tening, asking for clarification from veterinarian, and acknowledging and responding to a range of views</w:t>
            </w:r>
          </w:p>
          <w:p w:rsidR="00000000" w:rsidRPr="00B175D4" w:rsidP="00B175D4">
            <w:pPr>
              <w:pStyle w:val="ListBullet"/>
            </w:pPr>
            <w:r w:rsidRPr="00B175D4">
              <w:t>use numeracy skills required to prepare veterinary medicines</w:t>
            </w:r>
          </w:p>
          <w:p w:rsidR="00000000" w:rsidRPr="00B175D4" w:rsidP="00B175D4">
            <w:pPr>
              <w:pStyle w:val="ListBullet"/>
            </w:pPr>
            <w:r w:rsidRPr="00B175D4">
              <w:t>use problem-solving skills to use available resources, prioritise tasks and select, prepar</w:t>
            </w:r>
            <w:r w:rsidRPr="00B175D4">
              <w:t>e and clean/sterilise instruments and equipment as directed</w:t>
            </w:r>
          </w:p>
          <w:p w:rsidR="00000000" w:rsidP="00B175D4">
            <w:pPr>
              <w:pStyle w:val="ListBullet"/>
              <w:rPr>
                <w:lang w:val="en-NZ"/>
              </w:rPr>
            </w:pPr>
            <w:r w:rsidRPr="00B175D4">
              <w:t>work as part of a team and in close working arrangements with the supervising veterinarian.</w:t>
            </w:r>
          </w:p>
        </w:tc>
      </w:tr>
      <w:tr w:rsidTr="00EE4AFA">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B175D4">
            <w:pPr>
              <w:pStyle w:val="TableHeading"/>
              <w:rPr>
                <w:lang w:val="en-NZ"/>
              </w:rPr>
            </w:pPr>
            <w:r w:rsidRPr="00B175D4">
              <w:t>Required knowledge</w:t>
            </w:r>
          </w:p>
        </w:tc>
      </w:tr>
      <w:tr w:rsidTr="00EE4AFA">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B175D4" w:rsidP="00B175D4">
            <w:pPr>
              <w:pStyle w:val="BodyText"/>
            </w:pPr>
            <w:r w:rsidRPr="00B175D4">
              <w:rPr>
                <w:rStyle w:val="SpecialBold"/>
              </w:rPr>
              <w:t>Knowledge of:</w:t>
            </w:r>
          </w:p>
          <w:p w:rsidR="00000000" w:rsidRPr="00B175D4" w:rsidP="00B175D4">
            <w:pPr>
              <w:pStyle w:val="ListBullet"/>
            </w:pPr>
            <w:r w:rsidRPr="00B175D4">
              <w:t>animal anatomy and physiology related to surgical nursing routines</w:t>
            </w:r>
          </w:p>
          <w:p w:rsidR="00000000" w:rsidRPr="00B175D4" w:rsidP="00B175D4">
            <w:pPr>
              <w:pStyle w:val="ListBullet"/>
            </w:pPr>
            <w:r w:rsidRPr="00B175D4">
              <w:t>anaesthetic agents, including injectable and gaseous compounds and the planes and stages of anaesthesia</w:t>
            </w:r>
          </w:p>
          <w:p w:rsidR="00000000" w:rsidRPr="00B175D4" w:rsidP="00B175D4">
            <w:pPr>
              <w:pStyle w:val="ListBullet"/>
            </w:pPr>
            <w:r w:rsidRPr="00B175D4">
              <w:t>anaesthetic monitoring techniques</w:t>
            </w:r>
          </w:p>
          <w:p w:rsidR="00000000" w:rsidRPr="00B175D4" w:rsidP="00B175D4">
            <w:pPr>
              <w:pStyle w:val="ListBullet"/>
            </w:pPr>
            <w:r w:rsidRPr="00B175D4">
              <w:t>aseptic techniques, including general theatre etiquette, dress rules and restricted areas</w:t>
            </w:r>
          </w:p>
          <w:p w:rsidR="00000000" w:rsidRPr="00B175D4" w:rsidP="00B175D4">
            <w:pPr>
              <w:pStyle w:val="ListBullet"/>
            </w:pPr>
            <w:r w:rsidRPr="00B175D4">
              <w:t xml:space="preserve">dangers related to exposure </w:t>
            </w:r>
            <w:r w:rsidRPr="00B175D4">
              <w:t>to anaesthetic agents</w:t>
            </w:r>
          </w:p>
          <w:p w:rsidR="00000000" w:rsidRPr="00B175D4" w:rsidP="00B175D4">
            <w:pPr>
              <w:pStyle w:val="ListBullet"/>
            </w:pPr>
            <w:r w:rsidRPr="00B175D4">
              <w:t>equipment in both the theatre and preparation areas, including clippers, vacuum cleaner, specific surgical equipment and ear tattoo instruments</w:t>
            </w:r>
          </w:p>
          <w:p w:rsidR="00000000" w:rsidRPr="00B175D4" w:rsidP="00B175D4">
            <w:pPr>
              <w:pStyle w:val="ListBullet"/>
            </w:pPr>
            <w:r w:rsidRPr="00B175D4">
              <w:t>legislative requirements and health regulations for the storage, use and disposal of chemi</w:t>
            </w:r>
            <w:r w:rsidRPr="00B175D4">
              <w:t>cals and biological debris from veterinary procedures</w:t>
            </w:r>
          </w:p>
          <w:p w:rsidR="00000000" w:rsidRPr="00B175D4" w:rsidP="00B175D4">
            <w:pPr>
              <w:pStyle w:val="ListBullet"/>
            </w:pPr>
            <w:r w:rsidRPr="00B175D4">
              <w:t>range of common and non-routine surgical instruments</w:t>
            </w:r>
          </w:p>
          <w:p w:rsidR="00000000" w:rsidRPr="00B175D4" w:rsidP="00B175D4">
            <w:pPr>
              <w:pStyle w:val="ListBullet"/>
            </w:pPr>
            <w:r w:rsidRPr="00B175D4">
              <w:t>range of anaesthetic equipment, including vaporisers, cycle systems, tubing, re-breathing systems and scavenger systems</w:t>
            </w:r>
          </w:p>
          <w:p w:rsidR="00000000" w:rsidRPr="00B175D4" w:rsidP="00B175D4">
            <w:pPr>
              <w:pStyle w:val="ListBullet"/>
            </w:pPr>
            <w:r w:rsidRPr="00B175D4">
              <w:t>relevant state or territory l</w:t>
            </w:r>
            <w:r w:rsidRPr="00B175D4">
              <w:t>egislative requirements for animal welfare</w:t>
            </w:r>
          </w:p>
          <w:p w:rsidR="00000000" w:rsidRPr="00B175D4" w:rsidP="00B175D4">
            <w:pPr>
              <w:pStyle w:val="ListBullet"/>
            </w:pPr>
            <w:r w:rsidRPr="00B175D4">
              <w:t>resuscitation techniques</w:t>
            </w:r>
          </w:p>
          <w:p w:rsidR="00000000" w:rsidRPr="00B175D4" w:rsidP="00B175D4">
            <w:pPr>
              <w:pStyle w:val="ListBullet"/>
            </w:pPr>
            <w:r w:rsidRPr="00B175D4">
              <w:t>skin antiseptics used and their actions</w:t>
            </w:r>
          </w:p>
          <w:p w:rsidR="00000000" w:rsidRPr="00B175D4" w:rsidP="00B175D4">
            <w:pPr>
              <w:pStyle w:val="ListBullet"/>
            </w:pPr>
            <w:r w:rsidRPr="00B175D4">
              <w:t>sterilisation techniques, including working knowledge of the operation of autoclaves and an awareness of alternative sterilisation techniques, including gamma irradiation, ethylene oxide and chemical sterilisation and their associated health hazards</w:t>
            </w:r>
          </w:p>
          <w:p w:rsidR="00000000" w:rsidRPr="00B175D4" w:rsidP="00B175D4">
            <w:pPr>
              <w:pStyle w:val="ListBullet"/>
            </w:pPr>
            <w:r w:rsidRPr="00B175D4">
              <w:t>variou</w:t>
            </w:r>
            <w:r w:rsidRPr="00B175D4">
              <w:t>s surgical procedures and the appropriate equipment</w:t>
            </w:r>
          </w:p>
          <w:p w:rsidR="00000000" w:rsidRPr="00B175D4" w:rsidP="00B175D4">
            <w:pPr>
              <w:pStyle w:val="ListBullet"/>
            </w:pPr>
            <w:r w:rsidRPr="00B175D4">
              <w:t>Veterinary Practitioner Acts and Regulations.</w:t>
            </w:r>
          </w:p>
        </w:tc>
      </w:tr>
    </w:tbl>
    <w:p w:rsidR="00000000" w:rsidRPr="00B175D4" w:rsidP="00B175D4">
      <w:pPr>
        <w:pStyle w:val="BodyText"/>
      </w:pPr>
    </w:p>
    <w:p w:rsidR="00000000" w:rsidRPr="00B175D4" w:rsidP="00B175D4">
      <w:pPr>
        <w:pStyle w:val="AllowPageBreak"/>
      </w:pPr>
    </w:p>
    <w:p w:rsidR="00000000" w:rsidRPr="00B175D4" w:rsidP="00B175D4">
      <w:pPr>
        <w:pStyle w:val="Heading1"/>
      </w:pPr>
      <w:bookmarkStart w:id="10" w:name="O_508358"/>
      <w:bookmarkEnd w:id="10"/>
      <w:r w:rsidRPr="00B175D4">
        <w:t>Evidence Guide</w:t>
      </w:r>
    </w:p>
    <w:tbl>
      <w:tblPr>
        <w:tblW w:w="9570" w:type="dxa"/>
        <w:tblLayout w:type="fixed"/>
        <w:tblCellMar>
          <w:left w:w="62" w:type="dxa"/>
          <w:right w:w="62" w:type="dxa"/>
        </w:tblCellMar>
        <w:tblLook w:val="0000"/>
      </w:tblPr>
      <w:tblGrid>
        <w:gridCol w:w="3908"/>
        <w:gridCol w:w="5662"/>
      </w:tblGrid>
      <w:tr w:rsidTr="00EE4AFA">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75D4">
            <w:pPr>
              <w:pStyle w:val="BodyText"/>
              <w:rPr>
                <w:lang w:val="en-NZ"/>
              </w:rPr>
            </w:pPr>
            <w:r w:rsidRPr="00B175D4">
              <w:t>The Evidence Guide provides advice on assessment and must be read in conjunction with the performance criteria, required ski</w:t>
            </w:r>
            <w:r w:rsidRPr="00B175D4">
              <w:t>lls and knowledge, range statement and the Assessment Guidelines for the Training Package.</w:t>
            </w:r>
          </w:p>
        </w:tc>
      </w:tr>
      <w:tr w:rsidTr="00EE4AF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75D4">
            <w:pPr>
              <w:pStyle w:val="BodyText"/>
              <w:rPr>
                <w:lang w:val="en-NZ"/>
              </w:rPr>
            </w:pPr>
            <w:r w:rsidRPr="00B175D4">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75D4">
            <w:pPr>
              <w:pStyle w:val="BodyText"/>
              <w:rPr>
                <w:lang w:val="en-NZ"/>
              </w:rPr>
            </w:pPr>
          </w:p>
        </w:tc>
      </w:tr>
      <w:tr w:rsidTr="00EE4AF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75D4">
            <w:pPr>
              <w:pStyle w:val="BodyText"/>
              <w:rPr>
                <w:lang w:val="en-NZ"/>
              </w:rPr>
            </w:pPr>
            <w:r w:rsidRPr="00B175D4">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75D4" w:rsidP="00B175D4">
            <w:pPr>
              <w:pStyle w:val="BodyText"/>
            </w:pPr>
            <w:r w:rsidRPr="00B175D4">
              <w:t>The evidence required to demonstrate competency in this Unit must be relevant to workplace operations and satisfy all of the requirements of the performance criteria, required skills and knowledge and the range statement of this Unit. Assessors should ensu</w:t>
            </w:r>
            <w:r w:rsidRPr="00B175D4">
              <w:t>re that candidates can:</w:t>
            </w:r>
          </w:p>
          <w:p w:rsidR="00000000" w:rsidRPr="00B175D4" w:rsidP="00B175D4">
            <w:pPr>
              <w:pStyle w:val="ListBullet"/>
            </w:pPr>
            <w:r w:rsidRPr="00B175D4">
              <w:t>prepare surgical instruments and equipment, including surgical packs, in an aseptic environment ready for surgery</w:t>
            </w:r>
          </w:p>
          <w:p w:rsidR="00000000" w:rsidRPr="00B175D4" w:rsidP="00B175D4">
            <w:pPr>
              <w:pStyle w:val="ListBullet"/>
            </w:pPr>
            <w:r w:rsidRPr="00B175D4">
              <w:t>carry out preoperative processes</w:t>
            </w:r>
          </w:p>
          <w:p w:rsidR="00000000" w:rsidRPr="00B175D4" w:rsidP="00B175D4">
            <w:pPr>
              <w:pStyle w:val="ListBullet"/>
            </w:pPr>
            <w:r w:rsidRPr="00B175D4">
              <w:t>prepare animals for anaesthesia and surgical procedures and administer analgesics as</w:t>
            </w:r>
            <w:r w:rsidRPr="00B175D4">
              <w:t xml:space="preserve"> directed by the veterinarian</w:t>
            </w:r>
          </w:p>
          <w:p w:rsidR="00000000" w:rsidRPr="00B175D4" w:rsidP="00B175D4">
            <w:pPr>
              <w:pStyle w:val="ListBullet"/>
            </w:pPr>
            <w:r w:rsidRPr="00B175D4">
              <w:t>handle and restrain animals in a safe and ethical manner</w:t>
            </w:r>
          </w:p>
          <w:p w:rsidR="00000000" w:rsidRPr="00B175D4" w:rsidP="00B175D4">
            <w:pPr>
              <w:pStyle w:val="ListBullet"/>
            </w:pPr>
            <w:r w:rsidRPr="00B175D4">
              <w:t>provide effective sterile and/or non-sterile support to the veterinarian during surgical procedures</w:t>
            </w:r>
          </w:p>
          <w:p w:rsidR="00000000" w:rsidRPr="00B175D4" w:rsidP="00B175D4">
            <w:pPr>
              <w:pStyle w:val="ListBullet"/>
            </w:pPr>
            <w:r w:rsidRPr="00B175D4">
              <w:t>monitor patients' vital signs and anaesthesia during surgery</w:t>
            </w:r>
          </w:p>
          <w:p w:rsidR="00000000" w:rsidRPr="00B175D4" w:rsidP="00B175D4">
            <w:pPr>
              <w:pStyle w:val="ListBullet"/>
            </w:pPr>
            <w:r w:rsidRPr="00B175D4">
              <w:t>provide post-operative care for animals and post-operative advice for clients</w:t>
            </w:r>
          </w:p>
          <w:p w:rsidR="00000000" w:rsidRPr="00B175D4" w:rsidP="00B175D4">
            <w:pPr>
              <w:pStyle w:val="ListBullet"/>
            </w:pPr>
            <w:r w:rsidRPr="00B175D4">
              <w:t>communicate effectively with the veterinarian and clients.</w:t>
            </w:r>
          </w:p>
          <w:p w:rsidR="00000000" w:rsidP="00B175D4">
            <w:pPr>
              <w:pStyle w:val="BodyText"/>
              <w:rPr>
                <w:lang w:val="en-NZ"/>
              </w:rPr>
            </w:pPr>
            <w:r w:rsidRPr="00B175D4">
              <w:t>The skills and knowledge required to carry out surgical nursing routines must be transferable to a range of work enviro</w:t>
            </w:r>
            <w:r w:rsidRPr="00B175D4">
              <w:t>nments and contexts and include the ability to deal with unplanned events.</w:t>
            </w:r>
          </w:p>
        </w:tc>
      </w:tr>
      <w:tr w:rsidTr="00EE4AF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75D4">
            <w:pPr>
              <w:pStyle w:val="BodyText"/>
              <w:rPr>
                <w:lang w:val="en-NZ"/>
              </w:rPr>
            </w:pPr>
            <w:r w:rsidRPr="00B175D4">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75D4">
            <w:pPr>
              <w:pStyle w:val="BodyText"/>
              <w:rPr>
                <w:lang w:val="en-NZ"/>
              </w:rPr>
            </w:pPr>
            <w:r w:rsidRPr="00B175D4">
              <w:t>Assessment for this Unit is to be practical in nature and will be most appropriately assessed in a veterinary nursing workplace wit</w:t>
            </w:r>
            <w:r w:rsidRPr="00B175D4">
              <w:t>h access to the appropriate equipment and/or resources to enable one to demonstrate competence.</w:t>
            </w:r>
          </w:p>
        </w:tc>
      </w:tr>
      <w:tr w:rsidTr="00EE4AF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75D4">
            <w:pPr>
              <w:pStyle w:val="BodyText"/>
              <w:rPr>
                <w:lang w:val="en-NZ"/>
              </w:rPr>
            </w:pPr>
            <w:r w:rsidRPr="00B175D4">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75D4" w:rsidP="00B175D4">
            <w:pPr>
              <w:pStyle w:val="BodyText"/>
            </w:pPr>
            <w:r w:rsidRPr="00B175D4">
              <w:t xml:space="preserve">To ensure consistency of performance, competency should be demonstrated, to industry defined standards, on more than two occasions over a </w:t>
            </w:r>
            <w:r w:rsidRPr="00B175D4">
              <w:t>period of time in order to cover a variety of circumstances, patients, cases and responsibilities and over a number of assessment activities.</w:t>
            </w:r>
          </w:p>
          <w:p w:rsidR="00000000" w:rsidRPr="00B175D4" w:rsidP="00B175D4">
            <w:pPr>
              <w:pStyle w:val="BodyText"/>
            </w:pPr>
            <w:r w:rsidRPr="00B175D4">
              <w:t>The assessment strategy must include practical skills assessment. Suggested strategies for this Unit are:</w:t>
            </w:r>
          </w:p>
          <w:p w:rsidR="00000000" w:rsidRPr="00B175D4" w:rsidP="00B175D4">
            <w:pPr>
              <w:pStyle w:val="ListBullet"/>
            </w:pPr>
            <w:r w:rsidRPr="00B175D4">
              <w:t>written</w:t>
            </w:r>
            <w:r w:rsidRPr="00B175D4">
              <w:t xml:space="preserve"> and/or oral assessment of candidate's required knowledge</w:t>
            </w:r>
          </w:p>
          <w:p w:rsidR="00000000" w:rsidRPr="00B175D4" w:rsidP="00B175D4">
            <w:pPr>
              <w:pStyle w:val="ListBullet"/>
            </w:pPr>
            <w:r w:rsidRPr="00B175D4">
              <w:t>observed, documented and first-hand testimonial evidence of candidate's application of practical tasks</w:t>
            </w:r>
          </w:p>
          <w:p w:rsidR="00000000" w:rsidRPr="00B175D4" w:rsidP="00B175D4">
            <w:pPr>
              <w:pStyle w:val="ListBullet"/>
            </w:pPr>
            <w:r w:rsidRPr="00B175D4">
              <w:t>simulation exercises that reproduce normal work conditions</w:t>
            </w:r>
          </w:p>
          <w:p w:rsidR="00000000" w:rsidRPr="00B175D4" w:rsidP="00B175D4">
            <w:pPr>
              <w:pStyle w:val="ListBullet"/>
            </w:pPr>
            <w:r w:rsidRPr="00B175D4">
              <w:t>third-party evidence</w:t>
            </w:r>
          </w:p>
          <w:p w:rsidR="00000000" w:rsidRPr="00B175D4" w:rsidP="00B175D4">
            <w:pPr>
              <w:pStyle w:val="ListBullet"/>
            </w:pPr>
            <w:r w:rsidRPr="00B175D4">
              <w:t>workplace documentation</w:t>
            </w:r>
          </w:p>
          <w:p w:rsidR="00000000" w:rsidRPr="00B175D4" w:rsidP="00B175D4">
            <w:pPr>
              <w:pStyle w:val="ListBullet"/>
            </w:pPr>
            <w:r w:rsidRPr="00B175D4">
              <w:t>portfolio.</w:t>
            </w:r>
          </w:p>
          <w:p w:rsidR="00000000" w:rsidP="00B175D4">
            <w:pPr>
              <w:pStyle w:val="BodyText"/>
              <w:rPr>
                <w:lang w:val="en-NZ"/>
              </w:rPr>
            </w:pPr>
            <w:r w:rsidRPr="00B175D4">
              <w:t>This Unit may be assessed in a holistic way with other Units of Competency relevant to the industry sector, workplace and job role.</w:t>
            </w:r>
          </w:p>
        </w:tc>
      </w:tr>
      <w:tr w:rsidTr="00EE4AF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75D4">
            <w:pPr>
              <w:pStyle w:val="BodyText"/>
              <w:rPr>
                <w:lang w:val="en-NZ"/>
              </w:rPr>
            </w:pPr>
            <w:r w:rsidRPr="00B175D4">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75D4" w:rsidP="00B175D4">
            <w:pPr>
              <w:pStyle w:val="BodyText"/>
            </w:pPr>
            <w:r w:rsidRPr="00B175D4">
              <w:t xml:space="preserve">Assessment methods should reflect workplace demands </w:t>
            </w:r>
            <w:r w:rsidRPr="00B175D4">
              <w:t>(e.g. literacy and numeracy demands) and the needs of particular target groups (e.g. people with disabilities, Aboriginal and Torres Strait Islander people, women, people with a language background other than English, youth and people from low socioeconomi</w:t>
            </w:r>
            <w:r w:rsidRPr="00B175D4">
              <w:t>c backgrounds).</w:t>
            </w:r>
          </w:p>
        </w:tc>
      </w:tr>
    </w:tbl>
    <w:p w:rsidR="00000000" w:rsidRPr="00B175D4" w:rsidP="00B175D4">
      <w:pPr>
        <w:pStyle w:val="BodyText"/>
      </w:pPr>
    </w:p>
    <w:p w:rsidR="00000000" w:rsidRPr="00B175D4" w:rsidP="00B175D4">
      <w:pPr>
        <w:pStyle w:val="AllowPageBreak"/>
      </w:pPr>
    </w:p>
    <w:p w:rsidR="00000000" w:rsidRPr="00B175D4" w:rsidP="00B175D4">
      <w:pPr>
        <w:pStyle w:val="Heading1"/>
      </w:pPr>
      <w:bookmarkStart w:id="11" w:name="O_508356"/>
      <w:bookmarkEnd w:id="11"/>
      <w:r w:rsidRPr="00B175D4">
        <w:t>Range Statement</w:t>
      </w:r>
    </w:p>
    <w:tbl>
      <w:tblPr>
        <w:tblW w:w="0" w:type="auto"/>
        <w:tblLayout w:type="fixed"/>
        <w:tblCellMar>
          <w:left w:w="62" w:type="dxa"/>
          <w:right w:w="62" w:type="dxa"/>
        </w:tblCellMar>
        <w:tblLook w:val="0000"/>
      </w:tblPr>
      <w:tblGrid>
        <w:gridCol w:w="3461"/>
        <w:gridCol w:w="5061"/>
      </w:tblGrid>
      <w:tr w:rsidTr="00EE4AFA">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75D4">
            <w:pPr>
              <w:pStyle w:val="BodyText"/>
              <w:rPr>
                <w:lang w:val="en-NZ"/>
              </w:rPr>
            </w:pPr>
            <w:r w:rsidRPr="00B175D4">
              <w:t>The range statement relates to the Unit of Competency as a whole. It allows for different work environments and situations that may affect performance. Bold italicised wording, if used in the performance c</w:t>
            </w:r>
            <w:r w:rsidRPr="00B175D4">
              <w:t>riteria, is detailed below. Essential operating conditions that may be present with training and assessment (depending on the work situation, needs of the candidate, accessibility of the item, and local industry and regional contexts) may also be included.</w:t>
            </w:r>
          </w:p>
        </w:tc>
      </w:tr>
      <w:tr w:rsidTr="00EE4AFA">
        <w:tblPrEx>
          <w:tblW w:w="0" w:type="auto"/>
          <w:tblLayout w:type="fixed"/>
          <w:tblCellMar>
            <w:left w:w="62" w:type="dxa"/>
            <w:right w:w="62" w:type="dxa"/>
          </w:tblCellMar>
          <w:tblLook w:val="0000"/>
        </w:tblPrEx>
        <w:tc>
          <w:tcPr>
            <w:tcW w:w="34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75D4">
            <w:pPr>
              <w:pStyle w:val="BodyText"/>
              <w:rPr>
                <w:lang w:val="en-NZ"/>
              </w:rPr>
            </w:pPr>
            <w:r w:rsidRPr="00B175D4">
              <w:rPr>
                <w:rStyle w:val="BoldandItalics"/>
              </w:rPr>
              <w:t>Surgical procedures</w:t>
            </w:r>
            <w:r w:rsidRPr="00B175D4">
              <w:t xml:space="preserve"> may include:</w:t>
            </w:r>
          </w:p>
        </w:tc>
        <w:tc>
          <w:tcPr>
            <w:tcW w:w="50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75D4" w:rsidP="00B175D4">
            <w:pPr>
              <w:pStyle w:val="ListBullet"/>
            </w:pPr>
            <w:r w:rsidRPr="00B175D4">
              <w:t>procedures for both small and large animals, including orthopaedic, ophthalmic and soft tissue</w:t>
            </w:r>
          </w:p>
          <w:p w:rsidR="00000000" w:rsidP="00B175D4">
            <w:pPr>
              <w:pStyle w:val="ListBullet"/>
              <w:rPr>
                <w:lang w:val="en-NZ"/>
              </w:rPr>
            </w:pPr>
            <w:r w:rsidRPr="00B175D4">
              <w:t>defined surgical procedures, including diathermy and cryosurgery.</w:t>
            </w:r>
          </w:p>
        </w:tc>
      </w:tr>
      <w:tr w:rsidTr="00EE4AFA">
        <w:tblPrEx>
          <w:tblW w:w="0" w:type="auto"/>
          <w:tblLayout w:type="fixed"/>
          <w:tblCellMar>
            <w:left w:w="62" w:type="dxa"/>
            <w:right w:w="62" w:type="dxa"/>
          </w:tblCellMar>
          <w:tblLook w:val="0000"/>
        </w:tblPrEx>
        <w:tc>
          <w:tcPr>
            <w:tcW w:w="34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75D4">
            <w:pPr>
              <w:pStyle w:val="BodyText"/>
              <w:rPr>
                <w:lang w:val="en-NZ"/>
              </w:rPr>
            </w:pPr>
            <w:r w:rsidRPr="00B175D4">
              <w:rPr>
                <w:rStyle w:val="BoldandItalics"/>
              </w:rPr>
              <w:t>Pre</w:t>
            </w:r>
            <w:r w:rsidRPr="00B175D4">
              <w:t>-</w:t>
            </w:r>
            <w:r w:rsidRPr="00B175D4">
              <w:rPr>
                <w:rStyle w:val="BoldandItalics"/>
              </w:rPr>
              <w:t>operative care advice</w:t>
            </w:r>
            <w:r w:rsidRPr="00B175D4">
              <w:t xml:space="preserve"> may include:</w:t>
            </w:r>
          </w:p>
        </w:tc>
        <w:tc>
          <w:tcPr>
            <w:tcW w:w="50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75D4">
            <w:pPr>
              <w:pStyle w:val="ListBullet"/>
              <w:rPr>
                <w:lang w:val="en-NZ"/>
              </w:rPr>
            </w:pPr>
            <w:r w:rsidRPr="00B175D4">
              <w:t>fasting and limited fluid intake.</w:t>
            </w:r>
          </w:p>
        </w:tc>
      </w:tr>
      <w:tr w:rsidTr="00EE4AFA">
        <w:tblPrEx>
          <w:tblW w:w="0" w:type="auto"/>
          <w:tblLayout w:type="fixed"/>
          <w:tblCellMar>
            <w:left w:w="62" w:type="dxa"/>
            <w:right w:w="62" w:type="dxa"/>
          </w:tblCellMar>
          <w:tblLook w:val="0000"/>
        </w:tblPrEx>
        <w:tc>
          <w:tcPr>
            <w:tcW w:w="34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75D4">
            <w:pPr>
              <w:pStyle w:val="BodyText"/>
              <w:rPr>
                <w:lang w:val="en-NZ"/>
              </w:rPr>
            </w:pPr>
            <w:r w:rsidRPr="00B175D4">
              <w:rPr>
                <w:rStyle w:val="BoldandItalics"/>
              </w:rPr>
              <w:t>Workplace health and safety</w:t>
            </w:r>
            <w:r w:rsidRPr="00B175D4">
              <w:t xml:space="preserve"> risks when working with animals may include:</w:t>
            </w:r>
          </w:p>
        </w:tc>
        <w:tc>
          <w:tcPr>
            <w:tcW w:w="50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75D4" w:rsidP="00B175D4">
            <w:pPr>
              <w:pStyle w:val="ListBullet"/>
            </w:pPr>
            <w:r w:rsidRPr="00B175D4">
              <w:t>animal bites, kicks, scratches and crush injuries</w:t>
            </w:r>
          </w:p>
          <w:p w:rsidR="00000000" w:rsidRPr="00B175D4" w:rsidP="00B175D4">
            <w:pPr>
              <w:pStyle w:val="ListBullet"/>
            </w:pPr>
            <w:r w:rsidRPr="00B175D4">
              <w:t>biological hazardous waste and sharps disposal</w:t>
            </w:r>
          </w:p>
          <w:p w:rsidR="00000000" w:rsidRPr="00B175D4" w:rsidP="00B175D4">
            <w:pPr>
              <w:pStyle w:val="ListBullet"/>
            </w:pPr>
            <w:r w:rsidRPr="00B175D4">
              <w:t>handling of chemicals and medicines</w:t>
            </w:r>
          </w:p>
          <w:p w:rsidR="00000000" w:rsidRPr="00B175D4" w:rsidP="00B175D4">
            <w:pPr>
              <w:pStyle w:val="ListBullet"/>
            </w:pPr>
            <w:r w:rsidRPr="00B175D4">
              <w:t>gas leakage</w:t>
            </w:r>
          </w:p>
          <w:p w:rsidR="00000000" w:rsidRPr="00B175D4" w:rsidP="00B175D4">
            <w:pPr>
              <w:pStyle w:val="ListBullet"/>
            </w:pPr>
            <w:r w:rsidRPr="00B175D4">
              <w:t>inhalation of aerosol particles</w:t>
            </w:r>
          </w:p>
          <w:p w:rsidR="00000000" w:rsidRPr="00B175D4" w:rsidP="00B175D4">
            <w:pPr>
              <w:pStyle w:val="ListBullet"/>
            </w:pPr>
            <w:r w:rsidRPr="00B175D4">
              <w:t>intraocular contamination</w:t>
            </w:r>
          </w:p>
          <w:p w:rsidR="00000000" w:rsidRPr="00B175D4" w:rsidP="00B175D4">
            <w:pPr>
              <w:pStyle w:val="ListBullet"/>
            </w:pPr>
            <w:r w:rsidRPr="00B175D4">
              <w:t>manual handling, including carrying, lifting and shifting</w:t>
            </w:r>
          </w:p>
          <w:p w:rsidR="00000000" w:rsidRPr="00B175D4" w:rsidP="00B175D4">
            <w:pPr>
              <w:pStyle w:val="ListBullet"/>
            </w:pPr>
            <w:r w:rsidRPr="00B175D4">
              <w:t>needle pricks and cuts from other sharps</w:t>
            </w:r>
          </w:p>
          <w:p w:rsidR="00000000" w:rsidRPr="00B175D4" w:rsidP="00B175D4">
            <w:pPr>
              <w:pStyle w:val="ListBullet"/>
            </w:pPr>
            <w:r w:rsidRPr="00B175D4">
              <w:t>release of infective agents (animal and human)</w:t>
            </w:r>
          </w:p>
          <w:p w:rsidR="00000000" w:rsidRPr="00B175D4" w:rsidP="00B175D4">
            <w:pPr>
              <w:pStyle w:val="ListBullet"/>
            </w:pPr>
            <w:r w:rsidRPr="00B175D4">
              <w:t>slippery or uneven work surfaces</w:t>
            </w:r>
          </w:p>
          <w:p w:rsidR="00000000" w:rsidP="00B175D4">
            <w:pPr>
              <w:pStyle w:val="ListBullet"/>
              <w:rPr>
                <w:lang w:val="en-NZ"/>
              </w:rPr>
            </w:pPr>
            <w:r w:rsidRPr="00B175D4">
              <w:t>zoonoses.</w:t>
            </w:r>
          </w:p>
        </w:tc>
      </w:tr>
      <w:tr w:rsidTr="00EE4AFA">
        <w:tblPrEx>
          <w:tblW w:w="0" w:type="auto"/>
          <w:tblLayout w:type="fixed"/>
          <w:tblCellMar>
            <w:left w:w="62" w:type="dxa"/>
            <w:right w:w="62" w:type="dxa"/>
          </w:tblCellMar>
          <w:tblLook w:val="0000"/>
        </w:tblPrEx>
        <w:tc>
          <w:tcPr>
            <w:tcW w:w="34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75D4">
            <w:pPr>
              <w:pStyle w:val="BodyText"/>
              <w:rPr>
                <w:lang w:val="en-NZ"/>
              </w:rPr>
            </w:pPr>
            <w:r w:rsidRPr="00B175D4">
              <w:t>Sourcing</w:t>
            </w:r>
            <w:r w:rsidRPr="00B175D4">
              <w:t xml:space="preserve"> </w:t>
            </w:r>
            <w:r w:rsidRPr="00B175D4">
              <w:rPr>
                <w:rStyle w:val="BoldandItalics"/>
              </w:rPr>
              <w:t>surgical packs</w:t>
            </w:r>
            <w:r w:rsidRPr="00B175D4">
              <w:t xml:space="preserve"> may include:</w:t>
            </w:r>
          </w:p>
        </w:tc>
        <w:tc>
          <w:tcPr>
            <w:tcW w:w="50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75D4" w:rsidP="00B175D4">
            <w:pPr>
              <w:pStyle w:val="ListBullet"/>
            </w:pPr>
            <w:r w:rsidRPr="00B175D4">
              <w:t>identifying which packs are required for which procedures</w:t>
            </w:r>
          </w:p>
          <w:p w:rsidR="00000000" w:rsidRPr="00B175D4" w:rsidP="00B175D4">
            <w:pPr>
              <w:pStyle w:val="ListBullet"/>
            </w:pPr>
            <w:r w:rsidRPr="00B175D4">
              <w:t>grouping packs for each patient and adding extra requirements, such as:</w:t>
            </w:r>
          </w:p>
          <w:p w:rsidR="00000000" w:rsidRPr="00B175D4" w:rsidP="00B175D4">
            <w:pPr>
              <w:pStyle w:val="ListBullet2"/>
            </w:pPr>
            <w:r w:rsidRPr="00B175D4">
              <w:t>bandaging equipment</w:t>
            </w:r>
          </w:p>
          <w:p w:rsidR="00000000" w:rsidRPr="00B175D4" w:rsidP="00B175D4">
            <w:pPr>
              <w:pStyle w:val="ListBullet2"/>
            </w:pPr>
            <w:r w:rsidRPr="00B175D4">
              <w:t>scalpel blades</w:t>
            </w:r>
          </w:p>
          <w:p w:rsidR="00000000" w:rsidP="00B175D4">
            <w:pPr>
              <w:pStyle w:val="ListBullet2"/>
              <w:rPr>
                <w:lang w:val="en-NZ"/>
              </w:rPr>
            </w:pPr>
            <w:r w:rsidRPr="00B175D4">
              <w:t>suture materials.</w:t>
            </w:r>
          </w:p>
        </w:tc>
      </w:tr>
      <w:tr w:rsidTr="00EE4AFA">
        <w:tblPrEx>
          <w:tblW w:w="0" w:type="auto"/>
          <w:tblLayout w:type="fixed"/>
          <w:tblCellMar>
            <w:left w:w="62" w:type="dxa"/>
            <w:right w:w="62" w:type="dxa"/>
          </w:tblCellMar>
          <w:tblLook w:val="0000"/>
        </w:tblPrEx>
        <w:tc>
          <w:tcPr>
            <w:tcW w:w="34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75D4">
            <w:pPr>
              <w:pStyle w:val="BodyText"/>
              <w:rPr>
                <w:lang w:val="en-NZ"/>
              </w:rPr>
            </w:pPr>
            <w:r w:rsidRPr="00B175D4">
              <w:rPr>
                <w:rStyle w:val="BoldandItalics"/>
              </w:rPr>
              <w:t>Pre</w:t>
            </w:r>
            <w:r w:rsidRPr="00B175D4">
              <w:t>-</w:t>
            </w:r>
            <w:r w:rsidRPr="00B175D4">
              <w:rPr>
                <w:rStyle w:val="BoldandItalics"/>
              </w:rPr>
              <w:t>operative processes</w:t>
            </w:r>
            <w:r w:rsidRPr="00B175D4">
              <w:t xml:space="preserve"> </w:t>
            </w:r>
            <w:r w:rsidRPr="00B175D4">
              <w:t>may include but are not limited to:</w:t>
            </w:r>
          </w:p>
        </w:tc>
        <w:tc>
          <w:tcPr>
            <w:tcW w:w="50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75D4" w:rsidP="00B175D4">
            <w:pPr>
              <w:pStyle w:val="ListBullet"/>
            </w:pPr>
            <w:r w:rsidRPr="00B175D4">
              <w:t>weighing patients</w:t>
            </w:r>
          </w:p>
          <w:p w:rsidR="00000000" w:rsidRPr="00B175D4" w:rsidP="00B175D4">
            <w:pPr>
              <w:pStyle w:val="ListBullet"/>
            </w:pPr>
            <w:r w:rsidRPr="00B175D4">
              <w:t>noting patient's previous experience with general anaesthetic</w:t>
            </w:r>
          </w:p>
          <w:p w:rsidR="00000000" w:rsidRPr="00B175D4" w:rsidP="00B175D4">
            <w:pPr>
              <w:pStyle w:val="ListBullet"/>
            </w:pPr>
            <w:r w:rsidRPr="00B175D4">
              <w:t>accessing blankets, protective gloves and anaesthetic boxes</w:t>
            </w:r>
          </w:p>
          <w:p w:rsidR="00000000" w:rsidRPr="00B175D4" w:rsidP="00B175D4">
            <w:pPr>
              <w:pStyle w:val="ListBullet"/>
            </w:pPr>
            <w:r w:rsidRPr="00B175D4">
              <w:t>aseptic preparation of operating areas and injection sites</w:t>
            </w:r>
          </w:p>
          <w:p w:rsidR="00000000" w:rsidRPr="00B175D4" w:rsidP="00B175D4">
            <w:pPr>
              <w:pStyle w:val="ListBullet"/>
            </w:pPr>
            <w:r w:rsidRPr="00B175D4">
              <w:t>selecting appropriate endotracheal tubes</w:t>
            </w:r>
          </w:p>
          <w:p w:rsidR="00000000" w:rsidRPr="00B175D4" w:rsidP="00B175D4">
            <w:pPr>
              <w:pStyle w:val="ListBullet"/>
            </w:pPr>
            <w:r w:rsidRPr="00B175D4">
              <w:t>preparing correct quantities of anaesthetic agents under veterinary supervision</w:t>
            </w:r>
          </w:p>
          <w:p w:rsidR="00000000" w:rsidP="00B175D4">
            <w:pPr>
              <w:pStyle w:val="ListBullet"/>
              <w:rPr>
                <w:lang w:val="en-NZ"/>
              </w:rPr>
            </w:pPr>
            <w:r w:rsidRPr="00B175D4">
              <w:t>administering necessary premedication, medication and analgesia under veterinary supervision.</w:t>
            </w:r>
          </w:p>
        </w:tc>
      </w:tr>
      <w:tr w:rsidTr="00EE4AFA">
        <w:tblPrEx>
          <w:tblW w:w="0" w:type="auto"/>
          <w:tblLayout w:type="fixed"/>
          <w:tblCellMar>
            <w:left w:w="62" w:type="dxa"/>
            <w:right w:w="62" w:type="dxa"/>
          </w:tblCellMar>
          <w:tblLook w:val="0000"/>
        </w:tblPrEx>
        <w:tc>
          <w:tcPr>
            <w:tcW w:w="34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75D4">
            <w:pPr>
              <w:pStyle w:val="BodyText"/>
              <w:rPr>
                <w:lang w:val="en-NZ"/>
              </w:rPr>
            </w:pPr>
            <w:r w:rsidRPr="00B175D4">
              <w:rPr>
                <w:rStyle w:val="BoldandItalics"/>
              </w:rPr>
              <w:t>Animal preparation</w:t>
            </w:r>
            <w:r w:rsidRPr="00B175D4">
              <w:t xml:space="preserve"> may include:</w:t>
            </w:r>
          </w:p>
        </w:tc>
        <w:tc>
          <w:tcPr>
            <w:tcW w:w="50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75D4" w:rsidP="00B175D4">
            <w:pPr>
              <w:pStyle w:val="ListBullet"/>
            </w:pPr>
            <w:r w:rsidRPr="00B175D4">
              <w:t>applyin</w:t>
            </w:r>
            <w:r w:rsidRPr="00B175D4">
              <w:t>g restraining devices:</w:t>
            </w:r>
          </w:p>
          <w:p w:rsidR="00000000" w:rsidRPr="00B175D4" w:rsidP="00B175D4">
            <w:pPr>
              <w:pStyle w:val="ListBullet2"/>
            </w:pPr>
            <w:r w:rsidRPr="00B175D4">
              <w:t>muzzles, rearing bits, head collars, halters or hobbles</w:t>
            </w:r>
          </w:p>
          <w:p w:rsidR="00000000" w:rsidRPr="00B175D4" w:rsidP="00B175D4">
            <w:pPr>
              <w:pStyle w:val="ListBullet"/>
            </w:pPr>
            <w:r w:rsidRPr="00B175D4">
              <w:t>clipping, shaving and pre-surgical skin preparation routines</w:t>
            </w:r>
          </w:p>
          <w:p w:rsidR="00000000" w:rsidRPr="00B175D4" w:rsidP="00B175D4">
            <w:pPr>
              <w:pStyle w:val="ListBullet"/>
            </w:pPr>
            <w:r w:rsidRPr="00B175D4">
              <w:t>further preparation under veterinary supervision may extend to:</w:t>
            </w:r>
          </w:p>
          <w:p w:rsidR="00000000" w:rsidRPr="00B175D4" w:rsidP="00B175D4">
            <w:pPr>
              <w:pStyle w:val="ListBullet2"/>
            </w:pPr>
            <w:r w:rsidRPr="00B175D4">
              <w:t>administration of necessary premedication, intubation and the insertion of intravenous or urinary catheters</w:t>
            </w:r>
          </w:p>
          <w:p w:rsidR="00000000" w:rsidP="00B175D4">
            <w:pPr>
              <w:pStyle w:val="ListBullet2"/>
              <w:rPr>
                <w:lang w:val="en-NZ"/>
              </w:rPr>
            </w:pPr>
            <w:r w:rsidRPr="00B175D4">
              <w:t>preparation of equipment and materials for intravenous infusions.</w:t>
            </w:r>
          </w:p>
        </w:tc>
      </w:tr>
      <w:tr w:rsidTr="00EE4AFA">
        <w:tblPrEx>
          <w:tblW w:w="0" w:type="auto"/>
          <w:tblLayout w:type="fixed"/>
          <w:tblCellMar>
            <w:left w:w="62" w:type="dxa"/>
            <w:right w:w="62" w:type="dxa"/>
          </w:tblCellMar>
          <w:tblLook w:val="0000"/>
        </w:tblPrEx>
        <w:tc>
          <w:tcPr>
            <w:tcW w:w="34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75D4">
            <w:pPr>
              <w:pStyle w:val="BodyText"/>
              <w:rPr>
                <w:lang w:val="en-NZ"/>
              </w:rPr>
            </w:pPr>
            <w:r w:rsidRPr="00B175D4">
              <w:t xml:space="preserve">Use and types of </w:t>
            </w:r>
            <w:r w:rsidRPr="00B175D4">
              <w:rPr>
                <w:rStyle w:val="BoldandItalics"/>
              </w:rPr>
              <w:t>analgesics</w:t>
            </w:r>
            <w:r w:rsidRPr="00B175D4">
              <w:t xml:space="preserve"> may include:</w:t>
            </w:r>
          </w:p>
        </w:tc>
        <w:tc>
          <w:tcPr>
            <w:tcW w:w="50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75D4" w:rsidP="00B175D4">
            <w:pPr>
              <w:pStyle w:val="ListBullet"/>
            </w:pPr>
            <w:r w:rsidRPr="00B175D4">
              <w:t>administration of analgesics may be used for the provision of:</w:t>
            </w:r>
          </w:p>
          <w:p w:rsidR="00000000" w:rsidRPr="00B175D4" w:rsidP="00B175D4">
            <w:pPr>
              <w:pStyle w:val="ListBullet2"/>
            </w:pPr>
            <w:r w:rsidRPr="00B175D4">
              <w:t>pre-emptive analgesia</w:t>
            </w:r>
          </w:p>
          <w:p w:rsidR="00000000" w:rsidRPr="00B175D4" w:rsidP="00B175D4">
            <w:pPr>
              <w:pStyle w:val="ListBullet2"/>
            </w:pPr>
            <w:r w:rsidRPr="00B175D4">
              <w:t>inter-operative analgesia</w:t>
            </w:r>
          </w:p>
          <w:p w:rsidR="00000000" w:rsidRPr="00B175D4" w:rsidP="00B175D4">
            <w:pPr>
              <w:pStyle w:val="ListBullet2"/>
            </w:pPr>
            <w:r w:rsidRPr="00B175D4">
              <w:t>post-operative analgesia</w:t>
            </w:r>
          </w:p>
          <w:p w:rsidR="00000000" w:rsidRPr="00B175D4" w:rsidP="00B175D4">
            <w:pPr>
              <w:pStyle w:val="ListBullet"/>
            </w:pPr>
            <w:r w:rsidRPr="00B175D4">
              <w:t>analgesia types administered by the veterinarian or under veterinary supervision:</w:t>
            </w:r>
          </w:p>
          <w:p w:rsidR="00000000" w:rsidRPr="00B175D4" w:rsidP="00B175D4">
            <w:pPr>
              <w:pStyle w:val="ListBullet2"/>
            </w:pPr>
            <w:r w:rsidRPr="00B175D4">
              <w:t>non-steroidal anti-inflammatory</w:t>
            </w:r>
          </w:p>
          <w:p w:rsidR="00000000" w:rsidP="00B175D4">
            <w:pPr>
              <w:pStyle w:val="ListBullet2"/>
              <w:rPr>
                <w:lang w:val="en-NZ"/>
              </w:rPr>
            </w:pPr>
            <w:r w:rsidRPr="00B175D4">
              <w:t>nar</w:t>
            </w:r>
            <w:r w:rsidRPr="00B175D4">
              <w:t>cotic and other analgesics.</w:t>
            </w:r>
          </w:p>
        </w:tc>
      </w:tr>
      <w:tr w:rsidTr="00EE4AFA">
        <w:tblPrEx>
          <w:tblW w:w="0" w:type="auto"/>
          <w:tblLayout w:type="fixed"/>
          <w:tblCellMar>
            <w:left w:w="62" w:type="dxa"/>
            <w:right w:w="62" w:type="dxa"/>
          </w:tblCellMar>
          <w:tblLook w:val="0000"/>
        </w:tblPrEx>
        <w:tc>
          <w:tcPr>
            <w:tcW w:w="34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75D4">
            <w:pPr>
              <w:pStyle w:val="BodyText"/>
              <w:rPr>
                <w:lang w:val="en-NZ"/>
              </w:rPr>
            </w:pPr>
            <w:r w:rsidRPr="00B175D4">
              <w:rPr>
                <w:rStyle w:val="BoldandItalics"/>
              </w:rPr>
              <w:t>Sterile</w:t>
            </w:r>
            <w:r w:rsidRPr="00B175D4">
              <w:t xml:space="preserve"> assistance may include:</w:t>
            </w:r>
          </w:p>
        </w:tc>
        <w:tc>
          <w:tcPr>
            <w:tcW w:w="50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75D4">
            <w:pPr>
              <w:pStyle w:val="ListBullet"/>
              <w:rPr>
                <w:lang w:val="en-NZ"/>
              </w:rPr>
            </w:pPr>
            <w:r w:rsidRPr="00B175D4">
              <w:t>nurse may be required to scrub-up, glove, cap and gown in order to provide sterile equipment in a sterile field.</w:t>
            </w:r>
          </w:p>
        </w:tc>
      </w:tr>
      <w:tr w:rsidTr="00EE4AFA">
        <w:tblPrEx>
          <w:tblW w:w="0" w:type="auto"/>
          <w:tblLayout w:type="fixed"/>
          <w:tblCellMar>
            <w:left w:w="62" w:type="dxa"/>
            <w:right w:w="62" w:type="dxa"/>
          </w:tblCellMar>
          <w:tblLook w:val="0000"/>
        </w:tblPrEx>
        <w:tc>
          <w:tcPr>
            <w:tcW w:w="34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75D4">
            <w:pPr>
              <w:pStyle w:val="BodyText"/>
              <w:rPr>
                <w:lang w:val="en-NZ"/>
              </w:rPr>
            </w:pPr>
            <w:r w:rsidRPr="00B175D4">
              <w:rPr>
                <w:rStyle w:val="BoldandItalics"/>
              </w:rPr>
              <w:t>Routines</w:t>
            </w:r>
            <w:r w:rsidRPr="00B175D4">
              <w:t xml:space="preserve"> may include:</w:t>
            </w:r>
          </w:p>
        </w:tc>
        <w:tc>
          <w:tcPr>
            <w:tcW w:w="50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75D4" w:rsidP="00B175D4">
            <w:pPr>
              <w:pStyle w:val="ListBullet"/>
            </w:pPr>
            <w:r w:rsidRPr="00B175D4">
              <w:t>adjustment of lights, equipment and the patient as directed by the surgeon</w:t>
            </w:r>
          </w:p>
          <w:p w:rsidR="00000000" w:rsidRPr="00B175D4" w:rsidP="00B175D4">
            <w:pPr>
              <w:pStyle w:val="ListBullet"/>
            </w:pPr>
            <w:r w:rsidRPr="00B175D4">
              <w:t>presentation, alignment and exposure of the surgical site as directed by the surgeon</w:t>
            </w:r>
          </w:p>
          <w:p w:rsidR="00000000" w:rsidRPr="00B175D4" w:rsidP="00B175D4">
            <w:pPr>
              <w:pStyle w:val="ListBullet"/>
            </w:pPr>
            <w:r w:rsidRPr="00B175D4">
              <w:t>presentation of sterile packs, individual instruments, equipment and suturing materials</w:t>
            </w:r>
          </w:p>
          <w:p w:rsidR="00000000" w:rsidP="00B175D4">
            <w:pPr>
              <w:pStyle w:val="ListBullet"/>
              <w:rPr>
                <w:lang w:val="en-NZ"/>
              </w:rPr>
            </w:pPr>
            <w:r w:rsidRPr="00B175D4">
              <w:t>receivin</w:t>
            </w:r>
            <w:r w:rsidRPr="00B175D4">
              <w:t>g, preparation and dispatch of pathological samples under veterinary supervision.</w:t>
            </w:r>
          </w:p>
        </w:tc>
      </w:tr>
      <w:tr w:rsidTr="00EE4AFA">
        <w:tblPrEx>
          <w:tblW w:w="0" w:type="auto"/>
          <w:tblLayout w:type="fixed"/>
          <w:tblCellMar>
            <w:left w:w="62" w:type="dxa"/>
            <w:right w:w="62" w:type="dxa"/>
          </w:tblCellMar>
          <w:tblLook w:val="0000"/>
        </w:tblPrEx>
        <w:tc>
          <w:tcPr>
            <w:tcW w:w="34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75D4">
            <w:pPr>
              <w:pStyle w:val="BodyText"/>
              <w:rPr>
                <w:lang w:val="en-NZ"/>
              </w:rPr>
            </w:pPr>
            <w:r w:rsidRPr="00B175D4">
              <w:t xml:space="preserve">Types of </w:t>
            </w:r>
            <w:r w:rsidRPr="00B175D4">
              <w:rPr>
                <w:rStyle w:val="BoldandItalics"/>
              </w:rPr>
              <w:t>anaesthesia</w:t>
            </w:r>
            <w:r w:rsidRPr="00B175D4">
              <w:t xml:space="preserve"> may include:</w:t>
            </w:r>
          </w:p>
        </w:tc>
        <w:tc>
          <w:tcPr>
            <w:tcW w:w="50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75D4" w:rsidP="00B175D4">
            <w:pPr>
              <w:pStyle w:val="ListBullet"/>
            </w:pPr>
            <w:r w:rsidRPr="00B175D4">
              <w:t>gaseous and injectable preparations</w:t>
            </w:r>
          </w:p>
          <w:p w:rsidR="00000000" w:rsidP="00B175D4">
            <w:pPr>
              <w:pStyle w:val="ListBullet"/>
              <w:rPr>
                <w:lang w:val="en-NZ"/>
              </w:rPr>
            </w:pPr>
            <w:r w:rsidRPr="00B175D4">
              <w:t>intermittent positive pressure ventilations.</w:t>
            </w:r>
          </w:p>
        </w:tc>
      </w:tr>
      <w:tr w:rsidTr="00EE4AFA">
        <w:tblPrEx>
          <w:tblW w:w="0" w:type="auto"/>
          <w:tblLayout w:type="fixed"/>
          <w:tblCellMar>
            <w:left w:w="62" w:type="dxa"/>
            <w:right w:w="62" w:type="dxa"/>
          </w:tblCellMar>
          <w:tblLook w:val="0000"/>
        </w:tblPrEx>
        <w:tc>
          <w:tcPr>
            <w:tcW w:w="34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75D4">
            <w:pPr>
              <w:pStyle w:val="BodyText"/>
              <w:rPr>
                <w:lang w:val="en-NZ"/>
              </w:rPr>
            </w:pPr>
            <w:r w:rsidRPr="00B175D4">
              <w:rPr>
                <w:rStyle w:val="BoldandItalics"/>
              </w:rPr>
              <w:t>Pain and vital signs</w:t>
            </w:r>
            <w:r w:rsidRPr="00B175D4">
              <w:t xml:space="preserve"> monitoring and recording may includ</w:t>
            </w:r>
            <w:r w:rsidRPr="00B175D4">
              <w:t>e:</w:t>
            </w:r>
          </w:p>
        </w:tc>
        <w:tc>
          <w:tcPr>
            <w:tcW w:w="50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75D4" w:rsidP="00B175D4">
            <w:pPr>
              <w:pStyle w:val="ListBullet"/>
            </w:pPr>
            <w:r w:rsidRPr="00B175D4">
              <w:t>audible, visual or measured signs of pain:</w:t>
            </w:r>
          </w:p>
          <w:p w:rsidR="00000000" w:rsidRPr="00B175D4" w:rsidP="00B175D4">
            <w:pPr>
              <w:pStyle w:val="ListBullet2"/>
            </w:pPr>
            <w:r w:rsidRPr="00B175D4">
              <w:t>arching back</w:t>
            </w:r>
          </w:p>
          <w:p w:rsidR="00000000" w:rsidRPr="00B175D4" w:rsidP="00B175D4">
            <w:pPr>
              <w:pStyle w:val="ListBullet2"/>
            </w:pPr>
            <w:r w:rsidRPr="00B175D4">
              <w:t>behavioural changes</w:t>
            </w:r>
          </w:p>
          <w:p w:rsidR="00000000" w:rsidRPr="00B175D4" w:rsidP="00B175D4">
            <w:pPr>
              <w:pStyle w:val="ListBullet2"/>
            </w:pPr>
            <w:r w:rsidRPr="00B175D4">
              <w:t>biting and kicking</w:t>
            </w:r>
          </w:p>
          <w:p w:rsidR="00000000" w:rsidRPr="00B175D4" w:rsidP="00B175D4">
            <w:pPr>
              <w:pStyle w:val="ListBullet2"/>
            </w:pPr>
            <w:r w:rsidRPr="00B175D4">
              <w:t>displacement of bones</w:t>
            </w:r>
          </w:p>
          <w:p w:rsidR="00000000" w:rsidRPr="00B175D4" w:rsidP="00B175D4">
            <w:pPr>
              <w:pStyle w:val="ListBullet2"/>
            </w:pPr>
            <w:r w:rsidRPr="00B175D4">
              <w:t>elevated temperature</w:t>
            </w:r>
          </w:p>
          <w:p w:rsidR="00000000" w:rsidRPr="00B175D4" w:rsidP="00B175D4">
            <w:pPr>
              <w:pStyle w:val="ListBullet2"/>
            </w:pPr>
            <w:r w:rsidRPr="00B175D4">
              <w:t>increased respiration</w:t>
            </w:r>
          </w:p>
          <w:p w:rsidR="00000000" w:rsidRPr="00B175D4" w:rsidP="00B175D4">
            <w:pPr>
              <w:pStyle w:val="ListBullet2"/>
            </w:pPr>
            <w:r w:rsidRPr="00B175D4">
              <w:t>increased vocalisation</w:t>
            </w:r>
          </w:p>
          <w:p w:rsidR="00000000" w:rsidRPr="00B175D4" w:rsidP="00B175D4">
            <w:pPr>
              <w:pStyle w:val="ListBullet2"/>
            </w:pPr>
            <w:r w:rsidRPr="00B175D4">
              <w:t>withdrawal of affected limbs</w:t>
            </w:r>
          </w:p>
          <w:p w:rsidR="00000000" w:rsidRPr="00B175D4" w:rsidP="00B175D4">
            <w:pPr>
              <w:pStyle w:val="ListBullet2"/>
            </w:pPr>
            <w:r w:rsidRPr="00B175D4">
              <w:t>straining</w:t>
            </w:r>
          </w:p>
          <w:p w:rsidR="00000000" w:rsidRPr="00B175D4" w:rsidP="00B175D4">
            <w:pPr>
              <w:pStyle w:val="ListBullet2"/>
            </w:pPr>
            <w:r w:rsidRPr="00B175D4">
              <w:t>trembling and changes in normal physiology</w:t>
            </w:r>
          </w:p>
          <w:p w:rsidR="00000000" w:rsidRPr="00B175D4" w:rsidP="00B175D4">
            <w:pPr>
              <w:pStyle w:val="ListBullet"/>
            </w:pPr>
            <w:r w:rsidRPr="00B175D4">
              <w:t>vital signs and reflexes monitored under anaesthesia:</w:t>
            </w:r>
          </w:p>
          <w:p w:rsidR="00000000" w:rsidRPr="00B175D4" w:rsidP="00B175D4">
            <w:pPr>
              <w:pStyle w:val="ListBullet2"/>
            </w:pPr>
            <w:r w:rsidRPr="00B175D4">
              <w:t>blood pressure</w:t>
            </w:r>
          </w:p>
          <w:p w:rsidR="00000000" w:rsidRPr="00B175D4" w:rsidP="00B175D4">
            <w:pPr>
              <w:pStyle w:val="ListBullet2"/>
            </w:pPr>
            <w:r w:rsidRPr="00B175D4">
              <w:t>pulse rate and quality</w:t>
            </w:r>
          </w:p>
          <w:p w:rsidR="00000000" w:rsidRPr="00B175D4" w:rsidP="00B175D4">
            <w:pPr>
              <w:pStyle w:val="ListBullet2"/>
            </w:pPr>
            <w:r w:rsidRPr="00B175D4">
              <w:t>respiratory rate and effort</w:t>
            </w:r>
          </w:p>
          <w:p w:rsidR="00000000" w:rsidRPr="00B175D4" w:rsidP="00B175D4">
            <w:pPr>
              <w:pStyle w:val="ListBullet2"/>
            </w:pPr>
            <w:r w:rsidRPr="00B175D4">
              <w:t>rectal temperature</w:t>
            </w:r>
          </w:p>
          <w:p w:rsidR="00000000" w:rsidRPr="00B175D4" w:rsidP="00B175D4">
            <w:pPr>
              <w:pStyle w:val="ListBullet2"/>
            </w:pPr>
            <w:r w:rsidRPr="00B175D4">
              <w:t>pulse oximetry and blood gases</w:t>
            </w:r>
          </w:p>
          <w:p w:rsidR="00000000" w:rsidRPr="00B175D4" w:rsidP="00B175D4">
            <w:pPr>
              <w:pStyle w:val="ListBullet2"/>
            </w:pPr>
            <w:r w:rsidRPr="00B175D4">
              <w:t>anaesthesia depth</w:t>
            </w:r>
          </w:p>
          <w:p w:rsidR="00000000" w:rsidRPr="00B175D4" w:rsidP="00B175D4">
            <w:pPr>
              <w:pStyle w:val="ListBullet2"/>
            </w:pPr>
            <w:r w:rsidRPr="00B175D4">
              <w:t>capillary refill time</w:t>
            </w:r>
          </w:p>
          <w:p w:rsidR="00000000" w:rsidRPr="00B175D4" w:rsidP="00B175D4">
            <w:pPr>
              <w:pStyle w:val="ListBullet2"/>
            </w:pPr>
            <w:r w:rsidRPr="00B175D4">
              <w:t>palpebral reflex</w:t>
            </w:r>
          </w:p>
          <w:p w:rsidR="00000000" w:rsidRPr="00B175D4" w:rsidP="00B175D4">
            <w:pPr>
              <w:pStyle w:val="ListBullet2"/>
            </w:pPr>
            <w:r w:rsidRPr="00B175D4">
              <w:t>heart rate</w:t>
            </w:r>
          </w:p>
          <w:p w:rsidR="00000000" w:rsidRPr="00B175D4" w:rsidP="00B175D4">
            <w:pPr>
              <w:pStyle w:val="ListBullet2"/>
            </w:pPr>
            <w:r w:rsidRPr="00B175D4">
              <w:t>mucous membrane colour</w:t>
            </w:r>
          </w:p>
          <w:p w:rsidR="00000000" w:rsidP="00B175D4">
            <w:pPr>
              <w:pStyle w:val="ListBullet2"/>
              <w:rPr>
                <w:lang w:val="en-NZ"/>
              </w:rPr>
            </w:pPr>
            <w:r w:rsidRPr="00B175D4">
              <w:t>pedal withdrawal reflex.</w:t>
            </w:r>
          </w:p>
        </w:tc>
      </w:tr>
      <w:tr w:rsidTr="00EE4AFA">
        <w:tblPrEx>
          <w:tblW w:w="0" w:type="auto"/>
          <w:tblLayout w:type="fixed"/>
          <w:tblCellMar>
            <w:left w:w="62" w:type="dxa"/>
            <w:right w:w="62" w:type="dxa"/>
          </w:tblCellMar>
          <w:tblLook w:val="0000"/>
        </w:tblPrEx>
        <w:tc>
          <w:tcPr>
            <w:tcW w:w="34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75D4">
            <w:pPr>
              <w:pStyle w:val="BodyText"/>
              <w:rPr>
                <w:lang w:val="en-NZ"/>
              </w:rPr>
            </w:pPr>
            <w:r w:rsidRPr="00B175D4">
              <w:rPr>
                <w:rStyle w:val="BoldandItalics"/>
              </w:rPr>
              <w:t>Emergency procedures</w:t>
            </w:r>
            <w:r w:rsidRPr="00B175D4">
              <w:t xml:space="preserve"> related to anaesthesia may be required for:</w:t>
            </w:r>
          </w:p>
        </w:tc>
        <w:tc>
          <w:tcPr>
            <w:tcW w:w="50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75D4" w:rsidP="00B175D4">
            <w:pPr>
              <w:pStyle w:val="ListBullet"/>
            </w:pPr>
            <w:r w:rsidRPr="00B175D4">
              <w:t>anaesthetic emergencies</w:t>
            </w:r>
          </w:p>
          <w:p w:rsidR="00000000" w:rsidRPr="00B175D4" w:rsidP="00B175D4">
            <w:pPr>
              <w:pStyle w:val="ListBullet"/>
            </w:pPr>
            <w:r w:rsidRPr="00B175D4">
              <w:t>haemorrhage</w:t>
            </w:r>
          </w:p>
          <w:p w:rsidR="00000000" w:rsidRPr="00B175D4" w:rsidP="00B175D4">
            <w:pPr>
              <w:pStyle w:val="ListBullet"/>
            </w:pPr>
            <w:r w:rsidRPr="00B175D4">
              <w:t>hypothermia or hyperthermia</w:t>
            </w:r>
          </w:p>
          <w:p w:rsidR="00000000" w:rsidRPr="00B175D4" w:rsidP="00B175D4">
            <w:pPr>
              <w:pStyle w:val="ListBullet"/>
            </w:pPr>
            <w:r w:rsidRPr="00B175D4">
              <w:t>respiratory distress</w:t>
            </w:r>
          </w:p>
          <w:p w:rsidR="00000000" w:rsidP="00B175D4">
            <w:pPr>
              <w:pStyle w:val="ListBullet"/>
              <w:rPr>
                <w:lang w:val="en-NZ"/>
              </w:rPr>
            </w:pPr>
            <w:r w:rsidRPr="00B175D4">
              <w:t>shock.</w:t>
            </w:r>
          </w:p>
        </w:tc>
      </w:tr>
      <w:tr w:rsidTr="00EE4AFA">
        <w:tblPrEx>
          <w:tblW w:w="0" w:type="auto"/>
          <w:tblLayout w:type="fixed"/>
          <w:tblCellMar>
            <w:left w:w="62" w:type="dxa"/>
            <w:right w:w="62" w:type="dxa"/>
          </w:tblCellMar>
          <w:tblLook w:val="0000"/>
        </w:tblPrEx>
        <w:tc>
          <w:tcPr>
            <w:tcW w:w="34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75D4">
            <w:pPr>
              <w:pStyle w:val="BodyText"/>
              <w:rPr>
                <w:lang w:val="en-NZ"/>
              </w:rPr>
            </w:pPr>
            <w:r w:rsidRPr="00B175D4">
              <w:rPr>
                <w:rStyle w:val="BoldandItalics"/>
              </w:rPr>
              <w:t>Post</w:t>
            </w:r>
            <w:r w:rsidRPr="00B175D4">
              <w:t>-</w:t>
            </w:r>
            <w:r w:rsidRPr="00B175D4">
              <w:rPr>
                <w:rStyle w:val="BoldandItalics"/>
              </w:rPr>
              <w:t>operative anaesthesia procedures</w:t>
            </w:r>
            <w:r w:rsidRPr="00B175D4">
              <w:t xml:space="preserve"> may include:</w:t>
            </w:r>
          </w:p>
        </w:tc>
        <w:tc>
          <w:tcPr>
            <w:tcW w:w="50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75D4" w:rsidP="00B175D4">
            <w:pPr>
              <w:pStyle w:val="ListBullet"/>
            </w:pPr>
            <w:r w:rsidRPr="00B175D4">
              <w:t>continued monitoring of vital signs</w:t>
            </w:r>
          </w:p>
          <w:p w:rsidR="00000000" w:rsidRPr="00B175D4" w:rsidP="00B175D4">
            <w:pPr>
              <w:pStyle w:val="ListBullet"/>
            </w:pPr>
            <w:r w:rsidRPr="00B175D4">
              <w:t>extubation</w:t>
            </w:r>
          </w:p>
          <w:p w:rsidR="00000000" w:rsidRPr="00B175D4" w:rsidP="00B175D4">
            <w:pPr>
              <w:pStyle w:val="ListBullet"/>
            </w:pPr>
            <w:r w:rsidRPr="00B175D4">
              <w:t>monitoring wounds, bandages and surgical sites for any abnormalities</w:t>
            </w:r>
          </w:p>
          <w:p w:rsidR="00000000" w:rsidP="00B175D4">
            <w:pPr>
              <w:pStyle w:val="ListBullet"/>
              <w:rPr>
                <w:lang w:val="en-NZ"/>
              </w:rPr>
            </w:pPr>
            <w:r w:rsidRPr="00B175D4">
              <w:t>positioning of patient recumbency in consideration of recovery phase and surgical site and ad</w:t>
            </w:r>
            <w:r w:rsidRPr="00B175D4">
              <w:t>justment of intravenous fluid therapy rates as directed by the surgeon.</w:t>
            </w:r>
          </w:p>
        </w:tc>
      </w:tr>
      <w:tr w:rsidTr="00EE4AFA">
        <w:tblPrEx>
          <w:tblW w:w="0" w:type="auto"/>
          <w:tblLayout w:type="fixed"/>
          <w:tblCellMar>
            <w:left w:w="62" w:type="dxa"/>
            <w:right w:w="62" w:type="dxa"/>
          </w:tblCellMar>
          <w:tblLook w:val="0000"/>
        </w:tblPrEx>
        <w:tc>
          <w:tcPr>
            <w:tcW w:w="34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75D4">
            <w:pPr>
              <w:pStyle w:val="BodyText"/>
              <w:rPr>
                <w:lang w:val="en-NZ"/>
              </w:rPr>
            </w:pPr>
            <w:r w:rsidRPr="00B175D4">
              <w:rPr>
                <w:rStyle w:val="BoldandItalics"/>
              </w:rPr>
              <w:t>Abnormalities</w:t>
            </w:r>
            <w:r w:rsidRPr="00B175D4">
              <w:t xml:space="preserve"> may include:</w:t>
            </w:r>
          </w:p>
        </w:tc>
        <w:tc>
          <w:tcPr>
            <w:tcW w:w="50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75D4" w:rsidP="00B175D4">
            <w:pPr>
              <w:pStyle w:val="ListBullet"/>
            </w:pPr>
            <w:r w:rsidRPr="00B175D4">
              <w:t>post-operative abnormalities in wounds and surgical sites:</w:t>
            </w:r>
          </w:p>
          <w:p w:rsidR="00000000" w:rsidRPr="00B175D4" w:rsidP="00B175D4">
            <w:pPr>
              <w:pStyle w:val="ListBullet2"/>
            </w:pPr>
            <w:r w:rsidRPr="00B175D4">
              <w:t>haemorrhage or other exudation</w:t>
            </w:r>
          </w:p>
          <w:p w:rsidR="00000000" w:rsidRPr="00B175D4" w:rsidP="00B175D4">
            <w:pPr>
              <w:pStyle w:val="ListBullet2"/>
            </w:pPr>
            <w:r w:rsidRPr="00B175D4">
              <w:t>swelling and self-trauma</w:t>
            </w:r>
          </w:p>
          <w:p w:rsidR="00000000" w:rsidRPr="00B175D4" w:rsidP="00B175D4">
            <w:pPr>
              <w:pStyle w:val="ListBullet"/>
            </w:pPr>
            <w:r w:rsidRPr="00B175D4">
              <w:t>other abnormalities:</w:t>
            </w:r>
          </w:p>
          <w:p w:rsidR="00000000" w:rsidRPr="00B175D4" w:rsidP="00B175D4">
            <w:pPr>
              <w:pStyle w:val="ListBullet2"/>
            </w:pPr>
            <w:r w:rsidRPr="00B175D4">
              <w:t>cold extremities</w:t>
            </w:r>
          </w:p>
          <w:p w:rsidR="00000000" w:rsidRPr="00B175D4" w:rsidP="00B175D4">
            <w:pPr>
              <w:pStyle w:val="ListBullet2"/>
            </w:pPr>
            <w:r w:rsidRPr="00B175D4">
              <w:t>delayed recovery</w:t>
            </w:r>
          </w:p>
          <w:p w:rsidR="00000000" w:rsidRPr="00B175D4" w:rsidP="00B175D4">
            <w:pPr>
              <w:pStyle w:val="ListBullet2"/>
            </w:pPr>
            <w:r w:rsidRPr="00B175D4">
              <w:t>increased heart rate</w:t>
            </w:r>
          </w:p>
          <w:p w:rsidR="00000000" w:rsidRPr="00B175D4" w:rsidP="00B175D4">
            <w:pPr>
              <w:pStyle w:val="ListBullet2"/>
            </w:pPr>
            <w:r w:rsidRPr="00B175D4">
              <w:t>increased respiratory rate or abdominal distension</w:t>
            </w:r>
          </w:p>
          <w:p w:rsidR="00000000" w:rsidRPr="00B175D4" w:rsidP="00B175D4">
            <w:pPr>
              <w:pStyle w:val="ListBullet2"/>
            </w:pPr>
            <w:r w:rsidRPr="00B175D4">
              <w:t>low body temperature</w:t>
            </w:r>
          </w:p>
          <w:p w:rsidR="00000000" w:rsidP="00B175D4">
            <w:pPr>
              <w:pStyle w:val="ListBullet2"/>
              <w:rPr>
                <w:lang w:val="en-NZ"/>
              </w:rPr>
            </w:pPr>
            <w:r w:rsidRPr="00B175D4">
              <w:t>pale mucous membranes.</w:t>
            </w:r>
          </w:p>
        </w:tc>
      </w:tr>
      <w:tr w:rsidTr="00EE4AFA">
        <w:tblPrEx>
          <w:tblW w:w="0" w:type="auto"/>
          <w:tblLayout w:type="fixed"/>
          <w:tblCellMar>
            <w:left w:w="62" w:type="dxa"/>
            <w:right w:w="62" w:type="dxa"/>
          </w:tblCellMar>
          <w:tblLook w:val="0000"/>
        </w:tblPrEx>
        <w:tc>
          <w:tcPr>
            <w:tcW w:w="34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75D4">
            <w:pPr>
              <w:pStyle w:val="BodyText"/>
              <w:rPr>
                <w:lang w:val="en-NZ"/>
              </w:rPr>
            </w:pPr>
            <w:r w:rsidRPr="00B175D4">
              <w:rPr>
                <w:rStyle w:val="BoldandItalics"/>
              </w:rPr>
              <w:t>Post</w:t>
            </w:r>
            <w:r w:rsidRPr="00B175D4">
              <w:t>-</w:t>
            </w:r>
            <w:r w:rsidRPr="00B175D4">
              <w:rPr>
                <w:rStyle w:val="BoldandItalics"/>
              </w:rPr>
              <w:t>operative patient management procedures</w:t>
            </w:r>
            <w:r w:rsidRPr="00B175D4">
              <w:t xml:space="preserve"> may include:</w:t>
            </w:r>
          </w:p>
        </w:tc>
        <w:tc>
          <w:tcPr>
            <w:tcW w:w="50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75D4" w:rsidP="00B175D4">
            <w:pPr>
              <w:pStyle w:val="ListBullet"/>
            </w:pPr>
            <w:r w:rsidRPr="00B175D4">
              <w:t>care and continued monitoring of vital signs and observation of abnormalities prior to an animal's release</w:t>
            </w:r>
          </w:p>
          <w:p w:rsidR="00000000" w:rsidRPr="00B175D4" w:rsidP="00B175D4">
            <w:pPr>
              <w:pStyle w:val="ListBullet"/>
            </w:pPr>
            <w:r w:rsidRPr="00B175D4">
              <w:t>advice to the owner, in line with veterinarian's instructions, regarding administering medicine, general care and follow-up treatment and/or follow-u</w:t>
            </w:r>
            <w:r w:rsidRPr="00B175D4">
              <w:t>p visits.</w:t>
            </w:r>
          </w:p>
        </w:tc>
      </w:tr>
    </w:tbl>
    <w:p w:rsidR="00000000" w:rsidRPr="00B175D4" w:rsidP="00B175D4">
      <w:pPr>
        <w:pStyle w:val="BodyText"/>
      </w:pPr>
    </w:p>
    <w:p w:rsidR="00000000" w:rsidRPr="00B175D4" w:rsidP="00B175D4">
      <w:pPr>
        <w:pStyle w:val="AllowPageBreak"/>
      </w:pPr>
    </w:p>
    <w:p w:rsidR="00000000" w:rsidRPr="00B175D4" w:rsidP="00B175D4">
      <w:pPr>
        <w:pStyle w:val="Heading1"/>
      </w:pPr>
      <w:bookmarkStart w:id="12" w:name="O_508360"/>
      <w:bookmarkEnd w:id="12"/>
      <w:r w:rsidRPr="00B175D4">
        <w:t>Unit Sector(s)</w:t>
      </w:r>
    </w:p>
    <w:p w:rsidR="00000000" w:rsidRPr="00B175D4" w:rsidP="00B175D4">
      <w:pPr>
        <w:pStyle w:val="BodyText"/>
      </w:pPr>
      <w:r w:rsidRPr="00B175D4">
        <w:t>Veterinary nursing</w:t>
      </w:r>
    </w:p>
    <w:p w:rsidR="00000000" w:rsidRPr="00B175D4" w:rsidP="00B175D4"/>
    <w:sectPr w:rsidSect="00B175D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75D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75D4" w:rsidRPr="00EE4AFA" w:rsidP="00EE4AFA">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75D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4AFA" w:rsidP="00B175D4">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EE4AFA" w:rsidP="00B175D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EE4AFA" w:rsidP="00B175D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75D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75D4" w:rsidRPr="00EE4AFA" w:rsidP="00EE4AFA">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75D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4AFA" w:rsidRPr="002D2AF8" w:rsidP="00B175D4">
    <w:pPr>
      <w:pStyle w:val="Header"/>
      <w:framePr w:wrap="around"/>
    </w:pPr>
    <w:r>
      <w:fldChar w:fldCharType="begin"/>
    </w:r>
    <w:r>
      <w:instrText xml:space="preserve"> TITLE   \* MERGEFORMAT </w:instrText>
    </w:r>
    <w:r>
      <w:fldChar w:fldCharType="separate"/>
    </w:r>
    <w:r>
      <w:t>ACMVET405A Carry out surgical nursing routines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December 2012</w:t>
    </w:r>
    <w:r>
      <w:fldChar w:fldCharType="end"/>
    </w:r>
  </w:p>
  <w:p w:rsidR="00EE4AFA" w:rsidP="00B175D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3BCE85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FDCB26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944CC7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175D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175D4"/>
    <w:pPr>
      <w:spacing w:before="360" w:after="60"/>
      <w:outlineLvl w:val="0"/>
    </w:pPr>
    <w:rPr>
      <w:sz w:val="32"/>
    </w:rPr>
  </w:style>
  <w:style w:type="paragraph" w:styleId="Heading2">
    <w:name w:val="heading 2"/>
    <w:basedOn w:val="HeadingBase"/>
    <w:next w:val="BodyText"/>
    <w:link w:val="Heading2Char"/>
    <w:qFormat/>
    <w:rsid w:val="00B175D4"/>
    <w:pPr>
      <w:keepLines/>
      <w:spacing w:before="240" w:after="120"/>
      <w:outlineLvl w:val="1"/>
    </w:pPr>
    <w:rPr>
      <w:sz w:val="28"/>
      <w:szCs w:val="40"/>
    </w:rPr>
  </w:style>
  <w:style w:type="paragraph" w:styleId="Heading3">
    <w:name w:val="heading 3"/>
    <w:basedOn w:val="HeadingBase"/>
    <w:next w:val="BodyText"/>
    <w:link w:val="Heading3Char"/>
    <w:qFormat/>
    <w:rsid w:val="00B175D4"/>
    <w:pPr>
      <w:spacing w:before="180" w:after="120"/>
      <w:outlineLvl w:val="2"/>
    </w:pPr>
    <w:rPr>
      <w:spacing w:val="-10"/>
      <w:kern w:val="32"/>
    </w:rPr>
  </w:style>
  <w:style w:type="paragraph" w:styleId="Heading4">
    <w:name w:val="heading 4"/>
    <w:basedOn w:val="HeadingBase"/>
    <w:next w:val="BodyText"/>
    <w:link w:val="Heading4Char"/>
    <w:qFormat/>
    <w:rsid w:val="00B175D4"/>
    <w:pPr>
      <w:spacing w:before="160" w:after="120"/>
      <w:outlineLvl w:val="3"/>
    </w:pPr>
    <w:rPr>
      <w:sz w:val="22"/>
    </w:rPr>
  </w:style>
  <w:style w:type="paragraph" w:styleId="Heading5">
    <w:name w:val="heading 5"/>
    <w:basedOn w:val="HeadingBase"/>
    <w:next w:val="Normal"/>
    <w:link w:val="Heading5Char"/>
    <w:qFormat/>
    <w:rsid w:val="00B175D4"/>
    <w:pPr>
      <w:spacing w:before="80"/>
      <w:outlineLvl w:val="4"/>
    </w:pPr>
    <w:rPr>
      <w:color w:val="918585"/>
      <w:sz w:val="20"/>
    </w:rPr>
  </w:style>
  <w:style w:type="paragraph" w:styleId="Heading6">
    <w:name w:val="heading 6"/>
    <w:basedOn w:val="HeadingBase"/>
    <w:next w:val="Normal"/>
    <w:link w:val="Heading6Char"/>
    <w:qFormat/>
    <w:rsid w:val="00B175D4"/>
    <w:pPr>
      <w:spacing w:before="60"/>
      <w:outlineLvl w:val="5"/>
    </w:pPr>
    <w:rPr>
      <w:color w:val="918585"/>
      <w:sz w:val="20"/>
    </w:rPr>
  </w:style>
  <w:style w:type="paragraph" w:styleId="Heading7">
    <w:name w:val="heading 7"/>
    <w:basedOn w:val="Normal"/>
    <w:next w:val="Normal"/>
    <w:link w:val="Heading7Char"/>
    <w:qFormat/>
    <w:rsid w:val="00B175D4"/>
    <w:pPr>
      <w:ind w:left="720"/>
      <w:outlineLvl w:val="6"/>
    </w:pPr>
    <w:rPr>
      <w:i/>
    </w:rPr>
  </w:style>
  <w:style w:type="paragraph" w:styleId="Heading8">
    <w:name w:val="heading 8"/>
    <w:basedOn w:val="Normal"/>
    <w:next w:val="Normal"/>
    <w:link w:val="Heading8Char"/>
    <w:qFormat/>
    <w:rsid w:val="00B175D4"/>
    <w:pPr>
      <w:ind w:left="720"/>
      <w:outlineLvl w:val="7"/>
    </w:pPr>
    <w:rPr>
      <w:i/>
    </w:rPr>
  </w:style>
  <w:style w:type="paragraph" w:styleId="Heading9">
    <w:name w:val="heading 9"/>
    <w:basedOn w:val="Normal"/>
    <w:next w:val="Normal"/>
    <w:link w:val="Heading9Char"/>
    <w:qFormat/>
    <w:rsid w:val="00B175D4"/>
    <w:pPr>
      <w:ind w:left="720"/>
      <w:outlineLvl w:val="8"/>
    </w:pPr>
    <w:rPr>
      <w:i/>
    </w:rPr>
  </w:style>
  <w:style w:type="character" w:default="1" w:styleId="DefaultParagraphFont">
    <w:name w:val="Default Paragraph Font"/>
    <w:uiPriority w:val="1"/>
    <w:unhideWhenUsed/>
    <w:rsid w:val="00B175D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175D4"/>
  </w:style>
  <w:style w:type="character" w:customStyle="1" w:styleId="Heading1Char">
    <w:name w:val="Heading 1 Char"/>
    <w:basedOn w:val="DefaultParagraphFont"/>
    <w:link w:val="Heading1"/>
    <w:rsid w:val="00B175D4"/>
    <w:rPr>
      <w:rFonts w:ascii="Times New Roman" w:eastAsia="Times New Roman" w:hAnsi="Times New Roman" w:cs="Times New Roman"/>
      <w:b/>
      <w:sz w:val="32"/>
      <w:szCs w:val="20"/>
      <w:lang w:eastAsia="en-US"/>
    </w:rPr>
  </w:style>
  <w:style w:type="paragraph" w:styleId="BodyText">
    <w:name w:val="Body Text"/>
    <w:basedOn w:val="Normal"/>
    <w:link w:val="BodyTextChar"/>
    <w:rsid w:val="00B175D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175D4"/>
    <w:rPr>
      <w:rFonts w:ascii="Times New Roman" w:eastAsia="Times New Roman" w:hAnsi="Times New Roman" w:cs="Times New Roman"/>
      <w:sz w:val="24"/>
      <w:lang w:eastAsia="en-US"/>
    </w:rPr>
  </w:style>
  <w:style w:type="paragraph" w:styleId="List">
    <w:name w:val="List"/>
    <w:basedOn w:val="BodyText"/>
    <w:next w:val="BodyText"/>
    <w:rsid w:val="00B175D4"/>
    <w:pPr>
      <w:tabs>
        <w:tab w:val="left" w:pos="340"/>
      </w:tabs>
      <w:spacing w:before="60" w:after="60"/>
      <w:ind w:left="340" w:hanging="340"/>
    </w:pPr>
  </w:style>
  <w:style w:type="paragraph" w:styleId="ListBullet">
    <w:name w:val="List Bullet"/>
    <w:basedOn w:val="List"/>
    <w:rsid w:val="00B175D4"/>
    <w:pPr>
      <w:numPr>
        <w:numId w:val="13"/>
      </w:numPr>
      <w:tabs>
        <w:tab w:val="clear" w:pos="340"/>
      </w:tabs>
      <w:spacing w:before="40" w:after="40"/>
    </w:pPr>
  </w:style>
  <w:style w:type="character" w:customStyle="1" w:styleId="SpecialBold">
    <w:name w:val="Special Bold"/>
    <w:basedOn w:val="DefaultParagraphFont"/>
    <w:rsid w:val="00B175D4"/>
    <w:rPr>
      <w:b/>
      <w:spacing w:val="0"/>
    </w:rPr>
  </w:style>
  <w:style w:type="paragraph" w:styleId="ListBullet2">
    <w:name w:val="List Bullet 2"/>
    <w:basedOn w:val="List2"/>
    <w:rsid w:val="00B175D4"/>
    <w:pPr>
      <w:numPr>
        <w:numId w:val="14"/>
      </w:numPr>
      <w:tabs>
        <w:tab w:val="clear" w:pos="680"/>
      </w:tabs>
    </w:pPr>
  </w:style>
  <w:style w:type="paragraph" w:customStyle="1" w:styleId="SuperHeading">
    <w:name w:val="SuperHeading"/>
    <w:basedOn w:val="Normal"/>
    <w:rsid w:val="00B175D4"/>
    <w:pPr>
      <w:spacing w:before="240" w:after="120"/>
      <w:outlineLvl w:val="0"/>
    </w:pPr>
    <w:rPr>
      <w:rFonts w:ascii="Times New Roman" w:hAnsi="Times New Roman"/>
      <w:b/>
      <w:sz w:val="32"/>
    </w:rPr>
  </w:style>
  <w:style w:type="paragraph" w:customStyle="1" w:styleId="TableHeading">
    <w:name w:val="Table Heading"/>
    <w:basedOn w:val="HeadingBase"/>
    <w:rsid w:val="00B175D4"/>
    <w:pPr>
      <w:keepLines/>
      <w:pBdr>
        <w:bottom w:val="single" w:sz="6" w:space="1" w:color="918585"/>
      </w:pBdr>
      <w:spacing w:before="240"/>
    </w:pPr>
  </w:style>
  <w:style w:type="paragraph" w:customStyle="1" w:styleId="AllowPageBreak">
    <w:name w:val="AllowPageBreak"/>
    <w:rsid w:val="00B175D4"/>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B175D4"/>
    <w:pPr>
      <w:tabs>
        <w:tab w:val="left" w:pos="680"/>
      </w:tabs>
      <w:spacing w:before="60" w:after="60"/>
      <w:ind w:left="680" w:hanging="340"/>
    </w:pPr>
  </w:style>
  <w:style w:type="character" w:customStyle="1" w:styleId="BoldandItalics">
    <w:name w:val="Bold and Italics"/>
    <w:qFormat/>
    <w:rsid w:val="00B175D4"/>
    <w:rPr>
      <w:b/>
      <w:i/>
      <w:u w:val="none"/>
    </w:rPr>
  </w:style>
  <w:style w:type="character" w:customStyle="1" w:styleId="Heading2Char">
    <w:name w:val="Heading 2 Char"/>
    <w:basedOn w:val="DefaultParagraphFont"/>
    <w:link w:val="Heading2"/>
    <w:rsid w:val="00B175D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175D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175D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175D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175D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175D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175D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175D4"/>
    <w:rPr>
      <w:rFonts w:ascii="Courier New" w:eastAsia="Times New Roman" w:hAnsi="Courier New" w:cs="Times New Roman"/>
      <w:i/>
      <w:szCs w:val="20"/>
      <w:lang w:eastAsia="en-US"/>
    </w:rPr>
  </w:style>
  <w:style w:type="paragraph" w:customStyle="1" w:styleId="HeadingBase">
    <w:name w:val="Heading Base"/>
    <w:rsid w:val="00B175D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175D4"/>
    <w:pPr>
      <w:tabs>
        <w:tab w:val="right" w:leader="dot" w:pos="9072"/>
      </w:tabs>
      <w:ind w:left="567"/>
    </w:pPr>
    <w:rPr>
      <w:szCs w:val="22"/>
    </w:rPr>
  </w:style>
  <w:style w:type="paragraph" w:customStyle="1" w:styleId="TOCBase">
    <w:name w:val="TOC Base"/>
    <w:rsid w:val="00B175D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175D4"/>
    <w:pPr>
      <w:tabs>
        <w:tab w:val="right" w:leader="dot" w:pos="9072"/>
      </w:tabs>
      <w:spacing w:before="40" w:after="40"/>
      <w:ind w:left="284"/>
    </w:pPr>
    <w:rPr>
      <w:rFonts w:ascii="Times New Roman" w:hAnsi="Times New Roman"/>
    </w:rPr>
  </w:style>
  <w:style w:type="paragraph" w:styleId="TOC1">
    <w:name w:val="toc 1"/>
    <w:basedOn w:val="TOCBase"/>
    <w:next w:val="Normal"/>
    <w:rsid w:val="00B175D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175D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175D4"/>
    <w:rPr>
      <w:rFonts w:ascii="Times New Roman" w:eastAsia="Times New Roman" w:hAnsi="Times New Roman" w:cs="Times New Roman"/>
      <w:sz w:val="16"/>
      <w:lang w:eastAsia="en-US"/>
    </w:rPr>
  </w:style>
  <w:style w:type="paragraph" w:styleId="Title">
    <w:name w:val="Title"/>
    <w:basedOn w:val="HeadingBase"/>
    <w:link w:val="TitleChar"/>
    <w:qFormat/>
    <w:rsid w:val="00B175D4"/>
    <w:pPr>
      <w:spacing w:before="5040"/>
      <w:jc w:val="center"/>
    </w:pPr>
    <w:rPr>
      <w:sz w:val="48"/>
      <w:szCs w:val="72"/>
      <w:lang w:val="en-US"/>
    </w:rPr>
  </w:style>
  <w:style w:type="character" w:customStyle="1" w:styleId="TitleChar">
    <w:name w:val="Title Char"/>
    <w:basedOn w:val="DefaultParagraphFont"/>
    <w:link w:val="Title"/>
    <w:rsid w:val="00B175D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175D4"/>
    <w:pPr>
      <w:tabs>
        <w:tab w:val="left" w:pos="3600"/>
        <w:tab w:val="left" w:pos="3958"/>
      </w:tabs>
    </w:pPr>
  </w:style>
  <w:style w:type="paragraph" w:customStyle="1" w:styleId="Note">
    <w:name w:val="Note"/>
    <w:basedOn w:val="BodyText"/>
    <w:rsid w:val="00B175D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175D4"/>
    <w:pPr>
      <w:framePr w:wrap="auto" w:hAnchor="text" w:y="6049"/>
    </w:pPr>
    <w:rPr>
      <w:color w:val="000000"/>
      <w:sz w:val="40"/>
    </w:rPr>
  </w:style>
  <w:style w:type="paragraph" w:customStyle="1" w:styleId="TOCTitle">
    <w:name w:val="TOCTitle"/>
    <w:basedOn w:val="Heading1"/>
    <w:rsid w:val="00B175D4"/>
    <w:pPr>
      <w:spacing w:after="240"/>
      <w:jc w:val="center"/>
      <w:outlineLvl w:val="9"/>
    </w:pPr>
    <w:rPr>
      <w:caps/>
    </w:rPr>
  </w:style>
  <w:style w:type="paragraph" w:customStyle="1" w:styleId="Version">
    <w:name w:val="Version"/>
    <w:rsid w:val="00B175D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175D4"/>
    <w:pPr>
      <w:keepNext w:val="0"/>
      <w:tabs>
        <w:tab w:val="right" w:pos="4176"/>
      </w:tabs>
      <w:ind w:left="198" w:hanging="198"/>
    </w:pPr>
    <w:rPr>
      <w:rFonts w:ascii="Garamond" w:hAnsi="Garamond"/>
    </w:rPr>
  </w:style>
  <w:style w:type="paragraph" w:styleId="IndexHeading">
    <w:name w:val="index heading"/>
    <w:basedOn w:val="Normal"/>
    <w:next w:val="Index1"/>
    <w:semiHidden/>
    <w:rsid w:val="00B175D4"/>
    <w:pPr>
      <w:spacing w:before="120" w:after="120"/>
    </w:pPr>
    <w:rPr>
      <w:rFonts w:ascii="Arial" w:hAnsi="Arial"/>
      <w:b/>
      <w:color w:val="918585"/>
      <w:sz w:val="24"/>
    </w:rPr>
  </w:style>
  <w:style w:type="paragraph" w:styleId="Header">
    <w:name w:val="header"/>
    <w:basedOn w:val="Normal"/>
    <w:link w:val="HeaderChar"/>
    <w:rsid w:val="00B175D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175D4"/>
    <w:rPr>
      <w:rFonts w:ascii="Times New Roman" w:eastAsia="Times New Roman" w:hAnsi="Times New Roman" w:cs="Times New Roman"/>
      <w:sz w:val="16"/>
      <w:szCs w:val="20"/>
      <w:lang w:val="en-GB" w:eastAsia="en-US"/>
    </w:rPr>
  </w:style>
  <w:style w:type="paragraph" w:customStyle="1" w:styleId="Chapter">
    <w:name w:val="Chapter"/>
    <w:basedOn w:val="Normal"/>
    <w:rsid w:val="00B175D4"/>
    <w:pPr>
      <w:spacing w:before="240"/>
    </w:pPr>
    <w:rPr>
      <w:rFonts w:ascii="Times New Roman" w:hAnsi="Times New Roman"/>
      <w:smallCaps/>
      <w:spacing w:val="80"/>
      <w:sz w:val="28"/>
    </w:rPr>
  </w:style>
  <w:style w:type="paragraph" w:customStyle="1" w:styleId="InChapter">
    <w:name w:val="InChapter"/>
    <w:basedOn w:val="Heading3"/>
    <w:rsid w:val="00B175D4"/>
    <w:pPr>
      <w:spacing w:after="240"/>
      <w:outlineLvl w:val="9"/>
    </w:pPr>
    <w:rPr>
      <w:noProof/>
    </w:rPr>
  </w:style>
  <w:style w:type="paragraph" w:styleId="Index2">
    <w:name w:val="index 2"/>
    <w:basedOn w:val="Normal"/>
    <w:next w:val="Normal"/>
    <w:semiHidden/>
    <w:rsid w:val="00B175D4"/>
    <w:pPr>
      <w:tabs>
        <w:tab w:val="right" w:pos="4176"/>
      </w:tabs>
      <w:ind w:left="568" w:hanging="284"/>
    </w:pPr>
    <w:rPr>
      <w:rFonts w:ascii="Garamond" w:hAnsi="Garamond"/>
    </w:rPr>
  </w:style>
  <w:style w:type="paragraph" w:customStyle="1" w:styleId="Byline">
    <w:name w:val="Byline"/>
    <w:rsid w:val="00B175D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175D4"/>
    <w:pPr>
      <w:tabs>
        <w:tab w:val="clear" w:pos="3600"/>
        <w:tab w:val="clear" w:pos="3958"/>
      </w:tabs>
      <w:jc w:val="right"/>
    </w:pPr>
  </w:style>
  <w:style w:type="character" w:styleId="Emphasis">
    <w:name w:val="Emphasis"/>
    <w:basedOn w:val="DefaultParagraphFont"/>
    <w:qFormat/>
    <w:rsid w:val="00B175D4"/>
    <w:rPr>
      <w:i/>
    </w:rPr>
  </w:style>
  <w:style w:type="paragraph" w:styleId="Caption">
    <w:name w:val="caption"/>
    <w:basedOn w:val="BodyText"/>
    <w:next w:val="Normal"/>
    <w:qFormat/>
    <w:rsid w:val="00B175D4"/>
    <w:pPr>
      <w:framePr w:w="2268" w:hSpace="181" w:vSpace="181" w:wrap="around" w:vAnchor="text" w:hAnchor="page" w:x="1135" w:y="285" w:anchorLock="1"/>
    </w:pPr>
    <w:rPr>
      <w:i/>
    </w:rPr>
  </w:style>
  <w:style w:type="paragraph" w:customStyle="1" w:styleId="MiniTOCTitle">
    <w:name w:val="MiniTOCTitle"/>
    <w:basedOn w:val="Heading4"/>
    <w:rsid w:val="00B175D4"/>
    <w:pPr>
      <w:spacing w:before="240"/>
      <w:outlineLvl w:val="9"/>
    </w:pPr>
    <w:rPr>
      <w:noProof/>
      <w:sz w:val="24"/>
    </w:rPr>
  </w:style>
  <w:style w:type="paragraph" w:customStyle="1" w:styleId="MiniTOCItem">
    <w:name w:val="MiniTOCItem"/>
    <w:basedOn w:val="ListBullet"/>
    <w:rsid w:val="00B175D4"/>
    <w:pPr>
      <w:numPr>
        <w:numId w:val="0"/>
      </w:numPr>
      <w:tabs>
        <w:tab w:val="right" w:leader="dot" w:pos="6521"/>
      </w:tabs>
      <w:spacing w:before="0" w:after="0"/>
    </w:pPr>
  </w:style>
  <w:style w:type="paragraph" w:customStyle="1" w:styleId="TOFTitle">
    <w:name w:val="TOFTitle"/>
    <w:basedOn w:val="TOCTitle"/>
    <w:rsid w:val="00B175D4"/>
  </w:style>
  <w:style w:type="paragraph" w:styleId="TableofFigures">
    <w:name w:val="table of figures"/>
    <w:basedOn w:val="Normal"/>
    <w:next w:val="Normal"/>
    <w:semiHidden/>
    <w:rsid w:val="00B175D4"/>
    <w:pPr>
      <w:tabs>
        <w:tab w:val="right" w:leader="dot" w:pos="9072"/>
      </w:tabs>
      <w:ind w:left="970" w:hanging="403"/>
    </w:pPr>
    <w:rPr>
      <w:rFonts w:ascii="Times New Roman" w:hAnsi="Times New Roman"/>
      <w:b/>
    </w:rPr>
  </w:style>
  <w:style w:type="paragraph" w:styleId="ListNumber">
    <w:name w:val="List Number"/>
    <w:basedOn w:val="List"/>
    <w:rsid w:val="00B175D4"/>
    <w:pPr>
      <w:numPr>
        <w:numId w:val="11"/>
      </w:numPr>
    </w:pPr>
  </w:style>
  <w:style w:type="character" w:customStyle="1" w:styleId="WingdingSymbols">
    <w:name w:val="Wingding Symbols"/>
    <w:rsid w:val="00B175D4"/>
    <w:rPr>
      <w:rFonts w:ascii="Wingdings" w:hAnsi="Wingdings"/>
    </w:rPr>
  </w:style>
  <w:style w:type="character" w:customStyle="1" w:styleId="HotSpot">
    <w:name w:val="HotSpot"/>
    <w:rsid w:val="00B175D4"/>
    <w:rPr>
      <w:color w:val="0033CC"/>
      <w:u w:val="none"/>
    </w:rPr>
  </w:style>
  <w:style w:type="paragraph" w:customStyle="1" w:styleId="BodyTextRight">
    <w:name w:val="Body Text Right"/>
    <w:basedOn w:val="BodyText"/>
    <w:rsid w:val="00B175D4"/>
    <w:pPr>
      <w:spacing w:before="0" w:after="0"/>
      <w:jc w:val="right"/>
    </w:pPr>
  </w:style>
  <w:style w:type="paragraph" w:styleId="Index3">
    <w:name w:val="index 3"/>
    <w:basedOn w:val="ListNumber2"/>
    <w:next w:val="Normal"/>
    <w:semiHidden/>
    <w:rsid w:val="00B175D4"/>
    <w:pPr>
      <w:numPr>
        <w:numId w:val="0"/>
      </w:numPr>
      <w:tabs>
        <w:tab w:val="right" w:leader="dot" w:pos="4176"/>
      </w:tabs>
    </w:pPr>
  </w:style>
  <w:style w:type="paragraph" w:styleId="ListNumber2">
    <w:name w:val="List Number 2"/>
    <w:basedOn w:val="List2"/>
    <w:rsid w:val="00B175D4"/>
    <w:pPr>
      <w:numPr>
        <w:numId w:val="10"/>
      </w:numPr>
      <w:tabs>
        <w:tab w:val="clear" w:pos="1060"/>
      </w:tabs>
    </w:pPr>
  </w:style>
  <w:style w:type="paragraph" w:customStyle="1" w:styleId="MarginNote">
    <w:name w:val="Margin Note"/>
    <w:basedOn w:val="BodyText"/>
    <w:rsid w:val="00B175D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175D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175D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175D4"/>
    <w:rPr>
      <w:sz w:val="32"/>
    </w:rPr>
  </w:style>
  <w:style w:type="paragraph" w:customStyle="1" w:styleId="HeadingProcedure">
    <w:name w:val="Heading Procedure"/>
    <w:basedOn w:val="HeadingBase"/>
    <w:next w:val="Normal"/>
    <w:rsid w:val="00B175D4"/>
    <w:pPr>
      <w:tabs>
        <w:tab w:val="left" w:pos="0"/>
      </w:tabs>
      <w:spacing w:before="120" w:after="60"/>
    </w:pPr>
    <w:rPr>
      <w:i/>
      <w:color w:val="918585"/>
      <w:sz w:val="22"/>
    </w:rPr>
  </w:style>
  <w:style w:type="paragraph" w:customStyle="1" w:styleId="TableBodyText">
    <w:name w:val="Table Body Text"/>
    <w:basedOn w:val="BodyText"/>
    <w:rsid w:val="00B175D4"/>
    <w:pPr>
      <w:spacing w:before="60" w:after="60"/>
    </w:pPr>
  </w:style>
  <w:style w:type="paragraph" w:styleId="ListContinue">
    <w:name w:val="List Continue"/>
    <w:basedOn w:val="List"/>
    <w:rsid w:val="00B175D4"/>
    <w:pPr>
      <w:ind w:firstLine="0"/>
    </w:pPr>
  </w:style>
  <w:style w:type="paragraph" w:customStyle="1" w:styleId="ListNote">
    <w:name w:val="List Note"/>
    <w:basedOn w:val="List"/>
    <w:rsid w:val="00B175D4"/>
    <w:pPr>
      <w:pBdr>
        <w:top w:val="single" w:sz="6" w:space="2" w:color="918585"/>
        <w:bottom w:val="single" w:sz="6" w:space="2" w:color="918585"/>
      </w:pBdr>
      <w:tabs>
        <w:tab w:val="left" w:pos="1021"/>
      </w:tabs>
      <w:ind w:firstLine="0"/>
    </w:pPr>
  </w:style>
  <w:style w:type="paragraph" w:customStyle="1" w:styleId="Warning">
    <w:name w:val="Warning"/>
    <w:basedOn w:val="BodyText"/>
    <w:rsid w:val="00B175D4"/>
    <w:pPr>
      <w:shd w:val="clear" w:color="auto" w:fill="D9D9D9"/>
      <w:tabs>
        <w:tab w:val="left" w:pos="992"/>
      </w:tabs>
      <w:ind w:left="119" w:right="119"/>
    </w:pPr>
    <w:rPr>
      <w:sz w:val="20"/>
    </w:rPr>
  </w:style>
  <w:style w:type="paragraph" w:customStyle="1" w:styleId="MarginIcons">
    <w:name w:val="Margin Icons"/>
    <w:basedOn w:val="BodyText"/>
    <w:rsid w:val="00B175D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175D4"/>
    <w:rPr>
      <w:rFonts w:ascii="Courier New" w:hAnsi="Courier New"/>
    </w:rPr>
  </w:style>
  <w:style w:type="paragraph" w:customStyle="1" w:styleId="NoteBullet">
    <w:name w:val="Note Bullet"/>
    <w:basedOn w:val="Note"/>
    <w:rsid w:val="00B175D4"/>
    <w:pPr>
      <w:tabs>
        <w:tab w:val="clear" w:pos="680"/>
      </w:tabs>
      <w:spacing w:before="60" w:after="60"/>
    </w:pPr>
  </w:style>
  <w:style w:type="paragraph" w:customStyle="1" w:styleId="SubHeading2">
    <w:name w:val="SubHeading2"/>
    <w:basedOn w:val="HeadingBase"/>
    <w:rsid w:val="00B175D4"/>
    <w:pPr>
      <w:spacing w:before="240" w:after="60"/>
    </w:pPr>
    <w:rPr>
      <w:sz w:val="20"/>
    </w:rPr>
  </w:style>
  <w:style w:type="paragraph" w:customStyle="1" w:styleId="SubHeading1">
    <w:name w:val="SubHeading1"/>
    <w:basedOn w:val="HeadingBase"/>
    <w:rsid w:val="00B175D4"/>
    <w:pPr>
      <w:spacing w:before="240" w:after="60"/>
    </w:pPr>
    <w:rPr>
      <w:color w:val="918585"/>
      <w:sz w:val="22"/>
    </w:rPr>
  </w:style>
  <w:style w:type="paragraph" w:customStyle="1" w:styleId="SideHeading">
    <w:name w:val="Side Heading"/>
    <w:basedOn w:val="HeadingBase"/>
    <w:rsid w:val="00B175D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175D4"/>
    <w:pPr>
      <w:numPr>
        <w:numId w:val="12"/>
      </w:numPr>
    </w:pPr>
  </w:style>
  <w:style w:type="paragraph" w:styleId="PlainText">
    <w:name w:val="Plain Text"/>
    <w:basedOn w:val="Normal"/>
    <w:link w:val="PlainTextChar"/>
    <w:rsid w:val="00B175D4"/>
    <w:rPr>
      <w:sz w:val="20"/>
    </w:rPr>
  </w:style>
  <w:style w:type="character" w:customStyle="1" w:styleId="PlainTextChar">
    <w:name w:val="Plain Text Char"/>
    <w:basedOn w:val="DefaultParagraphFont"/>
    <w:link w:val="PlainText"/>
    <w:rsid w:val="00B175D4"/>
    <w:rPr>
      <w:rFonts w:ascii="Courier New" w:eastAsia="Times New Roman" w:hAnsi="Courier New" w:cs="Times New Roman"/>
      <w:sz w:val="20"/>
      <w:szCs w:val="20"/>
      <w:lang w:eastAsia="en-US"/>
    </w:rPr>
  </w:style>
  <w:style w:type="character" w:customStyle="1" w:styleId="MenuOption">
    <w:name w:val="Menu Option"/>
    <w:basedOn w:val="DefaultParagraphFont"/>
    <w:rsid w:val="00B175D4"/>
    <w:rPr>
      <w:b/>
      <w:smallCaps/>
    </w:rPr>
  </w:style>
  <w:style w:type="paragraph" w:customStyle="1" w:styleId="TableListNumber">
    <w:name w:val="Table List Number"/>
    <w:basedOn w:val="ListNumber"/>
    <w:rsid w:val="00B175D4"/>
    <w:pPr>
      <w:numPr>
        <w:numId w:val="0"/>
      </w:numPr>
    </w:pPr>
  </w:style>
  <w:style w:type="paragraph" w:styleId="TOC4">
    <w:name w:val="toc 4"/>
    <w:basedOn w:val="TOCBase"/>
    <w:next w:val="Normal"/>
    <w:semiHidden/>
    <w:rsid w:val="00B175D4"/>
    <w:pPr>
      <w:tabs>
        <w:tab w:val="right" w:leader="dot" w:pos="9071"/>
      </w:tabs>
      <w:ind w:left="1701"/>
    </w:pPr>
  </w:style>
  <w:style w:type="paragraph" w:customStyle="1" w:styleId="ListAlpha">
    <w:name w:val="List Alpha"/>
    <w:basedOn w:val="List"/>
    <w:rsid w:val="00B175D4"/>
    <w:pPr>
      <w:numPr>
        <w:numId w:val="9"/>
      </w:numPr>
    </w:pPr>
  </w:style>
  <w:style w:type="paragraph" w:customStyle="1" w:styleId="ListAlpha2">
    <w:name w:val="List Alpha 2"/>
    <w:basedOn w:val="List2"/>
    <w:rsid w:val="00B175D4"/>
    <w:pPr>
      <w:numPr>
        <w:numId w:val="8"/>
      </w:numPr>
    </w:pPr>
  </w:style>
  <w:style w:type="paragraph" w:styleId="List3">
    <w:name w:val="List 3"/>
    <w:basedOn w:val="BodyText"/>
    <w:rsid w:val="00B175D4"/>
    <w:pPr>
      <w:tabs>
        <w:tab w:val="left" w:pos="1021"/>
      </w:tabs>
      <w:spacing w:before="60" w:after="60"/>
      <w:ind w:left="1020" w:hanging="340"/>
    </w:pPr>
  </w:style>
  <w:style w:type="paragraph" w:styleId="List4">
    <w:name w:val="List 4"/>
    <w:basedOn w:val="BodyText"/>
    <w:rsid w:val="00B175D4"/>
    <w:pPr>
      <w:tabs>
        <w:tab w:val="left" w:pos="1361"/>
      </w:tabs>
      <w:spacing w:before="60" w:after="60"/>
      <w:ind w:left="1361" w:hanging="340"/>
    </w:pPr>
  </w:style>
  <w:style w:type="paragraph" w:styleId="List5">
    <w:name w:val="List 5"/>
    <w:basedOn w:val="BodyText"/>
    <w:rsid w:val="00B175D4"/>
    <w:pPr>
      <w:tabs>
        <w:tab w:val="left" w:pos="1701"/>
      </w:tabs>
      <w:spacing w:before="60" w:after="60"/>
      <w:ind w:left="1701" w:hanging="340"/>
    </w:pPr>
  </w:style>
  <w:style w:type="paragraph" w:styleId="ListBullet3">
    <w:name w:val="List Bullet 3"/>
    <w:basedOn w:val="List3"/>
    <w:rsid w:val="00B175D4"/>
    <w:pPr>
      <w:numPr>
        <w:numId w:val="15"/>
      </w:numPr>
      <w:tabs>
        <w:tab w:val="clear" w:pos="1021"/>
      </w:tabs>
      <w:ind w:left="1037" w:hanging="357"/>
    </w:pPr>
  </w:style>
  <w:style w:type="paragraph" w:styleId="ListBullet4">
    <w:name w:val="List Bullet 4"/>
    <w:basedOn w:val="List4"/>
    <w:rsid w:val="00B175D4"/>
    <w:pPr>
      <w:numPr>
        <w:numId w:val="3"/>
      </w:numPr>
    </w:pPr>
  </w:style>
  <w:style w:type="paragraph" w:styleId="ListBullet5">
    <w:name w:val="List Bullet 5"/>
    <w:basedOn w:val="List5"/>
    <w:rsid w:val="00B175D4"/>
    <w:pPr>
      <w:numPr>
        <w:numId w:val="4"/>
      </w:numPr>
    </w:pPr>
  </w:style>
  <w:style w:type="paragraph" w:styleId="ListContinue2">
    <w:name w:val="List Continue 2"/>
    <w:basedOn w:val="List2"/>
    <w:rsid w:val="00B175D4"/>
    <w:pPr>
      <w:ind w:firstLine="0"/>
    </w:pPr>
  </w:style>
  <w:style w:type="paragraph" w:styleId="ListContinue3">
    <w:name w:val="List Continue 3"/>
    <w:basedOn w:val="List3"/>
    <w:rsid w:val="00B175D4"/>
    <w:pPr>
      <w:ind w:left="1021" w:firstLine="0"/>
    </w:pPr>
  </w:style>
  <w:style w:type="paragraph" w:styleId="ListContinue4">
    <w:name w:val="List Continue 4"/>
    <w:basedOn w:val="List4"/>
    <w:rsid w:val="00B175D4"/>
    <w:pPr>
      <w:ind w:firstLine="0"/>
    </w:pPr>
  </w:style>
  <w:style w:type="paragraph" w:styleId="ListContinue5">
    <w:name w:val="List Continue 5"/>
    <w:basedOn w:val="List5"/>
    <w:rsid w:val="00B175D4"/>
    <w:pPr>
      <w:ind w:firstLine="0"/>
    </w:pPr>
  </w:style>
  <w:style w:type="paragraph" w:styleId="ListNumber3">
    <w:name w:val="List Number 3"/>
    <w:basedOn w:val="List3"/>
    <w:rsid w:val="00B175D4"/>
    <w:pPr>
      <w:numPr>
        <w:numId w:val="5"/>
      </w:numPr>
    </w:pPr>
  </w:style>
  <w:style w:type="paragraph" w:styleId="ListNumber4">
    <w:name w:val="List Number 4"/>
    <w:basedOn w:val="List4"/>
    <w:rsid w:val="00B175D4"/>
    <w:pPr>
      <w:numPr>
        <w:numId w:val="6"/>
      </w:numPr>
    </w:pPr>
  </w:style>
  <w:style w:type="paragraph" w:styleId="ListNumber5">
    <w:name w:val="List Number 5"/>
    <w:basedOn w:val="List5"/>
    <w:rsid w:val="00B175D4"/>
    <w:pPr>
      <w:numPr>
        <w:numId w:val="7"/>
      </w:numPr>
    </w:pPr>
  </w:style>
  <w:style w:type="paragraph" w:styleId="BlockText">
    <w:name w:val="Block Text"/>
    <w:basedOn w:val="Normal"/>
    <w:rsid w:val="00B175D4"/>
    <w:pPr>
      <w:spacing w:after="120"/>
      <w:ind w:left="1440" w:right="1440"/>
    </w:pPr>
  </w:style>
  <w:style w:type="character" w:customStyle="1" w:styleId="Subscript">
    <w:name w:val="Subscript"/>
    <w:basedOn w:val="DefaultParagraphFont"/>
    <w:rsid w:val="00B175D4"/>
    <w:rPr>
      <w:sz w:val="16"/>
      <w:vertAlign w:val="subscript"/>
    </w:rPr>
  </w:style>
  <w:style w:type="character" w:customStyle="1" w:styleId="Superscript">
    <w:name w:val="Superscript"/>
    <w:basedOn w:val="DefaultParagraphFont"/>
    <w:rsid w:val="00B175D4"/>
    <w:rPr>
      <w:sz w:val="16"/>
      <w:vertAlign w:val="superscript"/>
    </w:rPr>
  </w:style>
  <w:style w:type="character" w:customStyle="1" w:styleId="Symbols">
    <w:name w:val="Symbols"/>
    <w:basedOn w:val="DefaultParagraphFont"/>
    <w:rsid w:val="00B175D4"/>
    <w:rPr>
      <w:rFonts w:ascii="Symbol" w:hAnsi="Symbol"/>
    </w:rPr>
  </w:style>
  <w:style w:type="character" w:customStyle="1" w:styleId="MenuOptions">
    <w:name w:val="Menu Options"/>
    <w:basedOn w:val="DefaultParagraphFont"/>
    <w:rsid w:val="00B175D4"/>
    <w:rPr>
      <w:rFonts w:ascii="Arial Narrow" w:hAnsi="Arial Narrow"/>
      <w:smallCaps/>
    </w:rPr>
  </w:style>
  <w:style w:type="character" w:customStyle="1" w:styleId="Buttons">
    <w:name w:val="Buttons"/>
    <w:basedOn w:val="DefaultParagraphFont"/>
    <w:rsid w:val="00B175D4"/>
    <w:rPr>
      <w:b/>
    </w:rPr>
  </w:style>
  <w:style w:type="character" w:customStyle="1" w:styleId="Underlined">
    <w:name w:val="Underlined"/>
    <w:basedOn w:val="DefaultParagraphFont"/>
    <w:rsid w:val="00B175D4"/>
    <w:rPr>
      <w:u w:val="single"/>
    </w:rPr>
  </w:style>
  <w:style w:type="paragraph" w:customStyle="1" w:styleId="TableBodyTextRight">
    <w:name w:val="Table Body Text Right"/>
    <w:basedOn w:val="TableBodyText"/>
    <w:rsid w:val="00B175D4"/>
    <w:pPr>
      <w:widowControl w:val="0"/>
      <w:autoSpaceDE w:val="0"/>
      <w:autoSpaceDN w:val="0"/>
      <w:adjustRightInd w:val="0"/>
      <w:jc w:val="right"/>
    </w:pPr>
    <w:rPr>
      <w:rFonts w:cs="Arial"/>
      <w:szCs w:val="18"/>
    </w:rPr>
  </w:style>
  <w:style w:type="paragraph" w:customStyle="1" w:styleId="CopyrightText">
    <w:name w:val="Copyright Text"/>
    <w:basedOn w:val="BodyText"/>
    <w:rsid w:val="00B175D4"/>
    <w:rPr>
      <w:sz w:val="18"/>
    </w:rPr>
  </w:style>
  <w:style w:type="paragraph" w:customStyle="1" w:styleId="BodySmallRight">
    <w:name w:val="Body Small Right"/>
    <w:basedOn w:val="BodyTextRight"/>
    <w:rsid w:val="00B175D4"/>
    <w:rPr>
      <w:sz w:val="18"/>
      <w:szCs w:val="18"/>
    </w:rPr>
  </w:style>
  <w:style w:type="paragraph" w:customStyle="1" w:styleId="MarginEdition">
    <w:name w:val="Margin Edition"/>
    <w:basedOn w:val="MarginNote"/>
    <w:rsid w:val="00B175D4"/>
    <w:pPr>
      <w:spacing w:before="0" w:after="0"/>
    </w:pPr>
    <w:rPr>
      <w:rFonts w:ascii="Times New Roman" w:hAnsi="Times New Roman"/>
      <w:color w:val="999999"/>
    </w:rPr>
  </w:style>
  <w:style w:type="paragraph" w:customStyle="1" w:styleId="Spacer">
    <w:name w:val="Spacer"/>
    <w:basedOn w:val="Normal"/>
    <w:rsid w:val="00B175D4"/>
    <w:rPr>
      <w:sz w:val="2"/>
      <w:szCs w:val="2"/>
    </w:rPr>
  </w:style>
  <w:style w:type="character" w:customStyle="1" w:styleId="Small">
    <w:name w:val="Small"/>
    <w:basedOn w:val="DefaultParagraphFont"/>
    <w:rsid w:val="00B175D4"/>
    <w:rPr>
      <w:sz w:val="16"/>
    </w:rPr>
  </w:style>
  <w:style w:type="paragraph" w:customStyle="1" w:styleId="WideTable">
    <w:name w:val="Wide Table"/>
    <w:basedOn w:val="Normal"/>
    <w:rsid w:val="00B175D4"/>
    <w:pPr>
      <w:ind w:left="-1418"/>
    </w:pPr>
    <w:rPr>
      <w:sz w:val="2"/>
      <w:szCs w:val="2"/>
    </w:rPr>
  </w:style>
  <w:style w:type="character" w:styleId="PageNumber">
    <w:name w:val="page number"/>
    <w:basedOn w:val="DefaultParagraphFont"/>
    <w:rsid w:val="00B175D4"/>
  </w:style>
  <w:style w:type="paragraph" w:styleId="Quote">
    <w:name w:val="Quote"/>
    <w:basedOn w:val="Heading1"/>
    <w:link w:val="QuoteChar"/>
    <w:qFormat/>
    <w:rsid w:val="00B175D4"/>
    <w:rPr>
      <w:b w:val="0"/>
      <w:sz w:val="72"/>
      <w:szCs w:val="72"/>
      <w:lang w:val="en-NZ"/>
    </w:rPr>
  </w:style>
  <w:style w:type="character" w:customStyle="1" w:styleId="QuoteChar">
    <w:name w:val="Quote Char"/>
    <w:basedOn w:val="DefaultParagraphFont"/>
    <w:link w:val="Quote"/>
    <w:rsid w:val="00B175D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175D4"/>
    <w:pPr>
      <w:pageBreakBefore/>
    </w:pPr>
  </w:style>
  <w:style w:type="paragraph" w:customStyle="1" w:styleId="Border">
    <w:name w:val="Border"/>
    <w:basedOn w:val="Normal"/>
    <w:qFormat/>
    <w:rsid w:val="00B175D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175D4"/>
    <w:rPr>
      <w:b/>
      <w:bCs/>
      <w:i/>
      <w:iCs/>
      <w:color w:val="auto"/>
    </w:rPr>
  </w:style>
  <w:style w:type="paragraph" w:styleId="IntenseQuote">
    <w:name w:val="Intense Quote"/>
    <w:basedOn w:val="Normal"/>
    <w:next w:val="Normal"/>
    <w:link w:val="IntenseQuoteChar"/>
    <w:uiPriority w:val="30"/>
    <w:qFormat/>
    <w:rsid w:val="00B175D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175D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175D4"/>
    <w:rPr>
      <w:smallCaps/>
      <w:color w:val="auto"/>
      <w:u w:val="single"/>
    </w:rPr>
  </w:style>
  <w:style w:type="character" w:styleId="IntenseReference">
    <w:name w:val="Intense Reference"/>
    <w:basedOn w:val="DefaultParagraphFont"/>
    <w:uiPriority w:val="32"/>
    <w:qFormat/>
    <w:rsid w:val="00B175D4"/>
    <w:rPr>
      <w:b/>
      <w:bCs/>
      <w:smallCaps/>
      <w:color w:val="auto"/>
      <w:spacing w:val="5"/>
      <w:u w:val="single"/>
    </w:rPr>
  </w:style>
  <w:style w:type="paragraph" w:customStyle="1" w:styleId="2ColumnHeading">
    <w:name w:val="2Column Heading"/>
    <w:basedOn w:val="BodyText"/>
    <w:qFormat/>
    <w:rsid w:val="00B175D4"/>
    <w:pPr>
      <w:spacing w:after="60"/>
      <w:ind w:left="-2268"/>
    </w:pPr>
    <w:rPr>
      <w:b/>
    </w:rPr>
  </w:style>
  <w:style w:type="paragraph" w:customStyle="1" w:styleId="Heading1TOC">
    <w:name w:val="Heading1 TOC"/>
    <w:basedOn w:val="Normal"/>
    <w:qFormat/>
    <w:rsid w:val="00B175D4"/>
    <w:pPr>
      <w:spacing w:before="240" w:after="120"/>
    </w:pPr>
    <w:rPr>
      <w:rFonts w:ascii="Times New Roman" w:hAnsi="Times New Roman"/>
      <w:b/>
      <w:sz w:val="32"/>
    </w:rPr>
  </w:style>
  <w:style w:type="paragraph" w:customStyle="1" w:styleId="Heading2TOC">
    <w:name w:val="Heading2 TOC"/>
    <w:basedOn w:val="Normal"/>
    <w:qFormat/>
    <w:rsid w:val="00B175D4"/>
    <w:pPr>
      <w:spacing w:before="240" w:after="60"/>
    </w:pPr>
    <w:rPr>
      <w:rFonts w:ascii="Times New Roman" w:hAnsi="Times New Roman"/>
      <w:b/>
      <w:sz w:val="28"/>
    </w:rPr>
  </w:style>
  <w:style w:type="character" w:customStyle="1" w:styleId="Underline">
    <w:name w:val="Underline"/>
    <w:basedOn w:val="DefaultParagraphFont"/>
    <w:qFormat/>
    <w:rsid w:val="00B175D4"/>
    <w:rPr>
      <w:u w:val="single"/>
    </w:rPr>
  </w:style>
  <w:style w:type="paragraph" w:styleId="BalloonText">
    <w:name w:val="Balloon Text"/>
    <w:basedOn w:val="Normal"/>
    <w:link w:val="BalloonTextChar"/>
    <w:rsid w:val="00B175D4"/>
    <w:rPr>
      <w:rFonts w:ascii="Tahoma" w:hAnsi="Tahoma" w:cs="Tahoma"/>
      <w:sz w:val="16"/>
      <w:szCs w:val="16"/>
    </w:rPr>
  </w:style>
  <w:style w:type="character" w:customStyle="1" w:styleId="BalloonTextChar">
    <w:name w:val="Balloon Text Char"/>
    <w:basedOn w:val="DefaultParagraphFont"/>
    <w:link w:val="BalloonText"/>
    <w:rsid w:val="00B175D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175D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175D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175D4"/>
    <w:rPr>
      <w:b/>
      <w:color w:val="660033"/>
      <w:spacing w:val="0"/>
    </w:rPr>
  </w:style>
  <w:style w:type="paragraph" w:customStyle="1" w:styleId="Nameditemlist">
    <w:name w:val="Named item list"/>
    <w:basedOn w:val="BodyText"/>
    <w:qFormat/>
    <w:rsid w:val="00B175D4"/>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2043</Words>
  <Characters>13203</Characters>
  <Application>Microsoft Office Word</Application>
  <DocSecurity>0</DocSecurity>
  <Lines>415</Lines>
  <Paragraphs>223</Paragraphs>
  <ScaleCrop>false</ScaleCrop>
  <Company>Author-it Software Corporation Ltd.</Company>
  <LinksUpToDate>false</LinksUpToDate>
  <CharactersWithSpaces>15163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ACMVET405A Carry out surgical nursing routines</dc:title>
  <dc:subject>Approved</dc:subject>
  <dc:creator>AgriFood Skills Australia</dc:creator>
  <cp:keywords>Revision Number: 2</cp:keywords>
  <dc:description>Copyright © 1996-2007 Author-it Software Corporation Ltd., all rights reserved.</dc:description>
  <cp:lastModifiedBy>TPCMS</cp:lastModifiedBy>
  <cp:revision>3</cp:revision>
  <dcterms:created xsi:type="dcterms:W3CDTF">2012-12-07T07:55:00Z</dcterms:created>
  <dcterms:modified xsi:type="dcterms:W3CDTF">2012-12-07T07:55:00Z</dcterms:modified>
</cp:coreProperties>
</file>