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9063F" w:rsidP="0029063F">
      <w:pPr>
        <w:pStyle w:val="Title"/>
      </w:pPr>
      <w:r>
        <w:fldChar w:fldCharType="begin"/>
      </w:r>
      <w:r>
        <w:instrText xml:space="preserve"> TITLE   \* MERGEFORMAT </w:instrText>
      </w:r>
      <w:r>
        <w:fldChar w:fldCharType="separate"/>
      </w:r>
      <w:r>
        <w:t>ACMACR409A Prepare and present animal control and regulation case</w:t>
      </w:r>
      <w:r>
        <w:fldChar w:fldCharType="end"/>
      </w:r>
    </w:p>
    <w:p w:rsidR="0029063F" w:rsidP="0029063F">
      <w:pPr>
        <w:pStyle w:val="Version"/>
        <w:sectPr w:rsidSect="002B26D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2B26DC" w:rsidP="002B26DC">
      <w:pPr>
        <w:pStyle w:val="SuperHeading"/>
      </w:pPr>
      <w:r w:rsidRPr="002B26DC">
        <w:t>ACMACR409A Prepare and present animal control and regulation case</w:t>
      </w:r>
    </w:p>
    <w:p w:rsidR="00000000" w:rsidRPr="002B26DC" w:rsidP="002B26DC">
      <w:pPr>
        <w:pStyle w:val="SuperHeading"/>
      </w:pPr>
    </w:p>
    <w:p w:rsidR="00000000" w:rsidRPr="002B26DC" w:rsidP="002B26DC">
      <w:pPr>
        <w:pStyle w:val="Heading1"/>
      </w:pPr>
      <w:bookmarkStart w:id="1" w:name="O_57315"/>
      <w:bookmarkEnd w:id="1"/>
      <w:r w:rsidRPr="002B26DC">
        <w:t>Modification History</w:t>
      </w:r>
    </w:p>
    <w:p w:rsidR="00000000" w:rsidRPr="002B26DC" w:rsidP="002B26DC">
      <w:pPr>
        <w:pStyle w:val="BodyText"/>
      </w:pPr>
      <w:r w:rsidRPr="002B26DC">
        <w:t>Not applicable.</w:t>
      </w:r>
    </w:p>
    <w:p w:rsidR="00000000" w:rsidRPr="002B26DC" w:rsidP="002B26DC">
      <w:pPr>
        <w:pStyle w:val="AllowPageBreak"/>
      </w:pPr>
    </w:p>
    <w:p w:rsidR="00000000" w:rsidRPr="002B26DC" w:rsidP="002B26DC">
      <w:pPr>
        <w:pStyle w:val="Heading1"/>
      </w:pPr>
      <w:bookmarkStart w:id="2" w:name="O_57316"/>
      <w:bookmarkEnd w:id="2"/>
      <w:r w:rsidRPr="002B26DC">
        <w:t>Unit Descriptor</w:t>
      </w:r>
    </w:p>
    <w:tbl>
      <w:tblPr>
        <w:tblW w:w="0" w:type="auto"/>
        <w:tblLayout w:type="fixed"/>
        <w:tblCellMar>
          <w:left w:w="62" w:type="dxa"/>
          <w:right w:w="62" w:type="dxa"/>
        </w:tblCellMar>
        <w:tblLook w:val="0000"/>
      </w:tblPr>
      <w:tblGrid>
        <w:gridCol w:w="2669"/>
        <w:gridCol w:w="5853"/>
      </w:tblGrid>
      <w:tr w:rsidTr="0029063F">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26DC">
            <w:pPr>
              <w:pStyle w:val="BodyText"/>
              <w:rPr>
                <w:lang w:val="en-NZ"/>
              </w:rPr>
            </w:pPr>
            <w:r w:rsidRPr="002B26DC">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26DC" w:rsidP="002B26DC">
            <w:pPr>
              <w:pStyle w:val="BodyText"/>
            </w:pPr>
            <w:r w:rsidRPr="002B26DC">
              <w:t>This unit of competency covers the process of conducting interviews, preparing evidence</w:t>
            </w:r>
            <w:r w:rsidRPr="002B26DC">
              <w:t xml:space="preserve"> and presenting evidence for animal control and regulation cases.</w:t>
            </w:r>
          </w:p>
          <w:p w:rsidR="00000000" w:rsidRPr="002B26DC" w:rsidP="002B26DC">
            <w:pPr>
              <w:pStyle w:val="BodyText"/>
            </w:pPr>
          </w:p>
          <w:p w:rsidR="00000000" w:rsidRPr="002B26DC" w:rsidP="002B26DC">
            <w:pPr>
              <w:pStyle w:val="BodyText"/>
            </w:pPr>
            <w:r w:rsidRPr="002B26DC">
              <w:t>No licensing, legislative, regulatory or certification requirements apply to this unit at the time of publication.</w:t>
            </w:r>
          </w:p>
        </w:tc>
      </w:tr>
    </w:tbl>
    <w:p w:rsidR="00000000" w:rsidRPr="002B26DC" w:rsidP="002B26DC">
      <w:pPr>
        <w:pStyle w:val="BodyText"/>
      </w:pPr>
    </w:p>
    <w:p w:rsidR="00000000" w:rsidRPr="002B26DC" w:rsidP="002B26DC">
      <w:pPr>
        <w:pStyle w:val="AllowPageBreak"/>
      </w:pPr>
    </w:p>
    <w:p w:rsidR="00000000" w:rsidRPr="002B26DC" w:rsidP="002B26DC">
      <w:pPr>
        <w:pStyle w:val="Heading1"/>
      </w:pPr>
      <w:bookmarkStart w:id="3" w:name="O_57317"/>
      <w:bookmarkEnd w:id="3"/>
      <w:r w:rsidRPr="002B26DC">
        <w:t>Application of the Unit</w:t>
      </w:r>
    </w:p>
    <w:tbl>
      <w:tblPr>
        <w:tblW w:w="0" w:type="auto"/>
        <w:tblLayout w:type="fixed"/>
        <w:tblCellMar>
          <w:left w:w="62" w:type="dxa"/>
          <w:right w:w="62" w:type="dxa"/>
        </w:tblCellMar>
        <w:tblLook w:val="0000"/>
      </w:tblPr>
      <w:tblGrid>
        <w:gridCol w:w="2752"/>
        <w:gridCol w:w="5770"/>
      </w:tblGrid>
      <w:tr w:rsidTr="0029063F">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26DC">
            <w:pPr>
              <w:pStyle w:val="BodyText"/>
              <w:rPr>
                <w:lang w:val="en-NZ"/>
              </w:rPr>
            </w:pPr>
            <w:r w:rsidRPr="002B26DC">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26DC" w:rsidP="002B26DC">
            <w:pPr>
              <w:pStyle w:val="BodyText"/>
            </w:pPr>
            <w:r w:rsidRPr="002B26DC">
              <w:t>The unit is applicable to those working in the animal control and regulation sectors and requires the ability to prepare for case proceedings, present evidence and follow up on the outcomes of the proceedings. Knowledge of relevant legislation and organisa</w:t>
            </w:r>
            <w:r w:rsidRPr="002B26DC">
              <w:t>tional policies and procedures is essential.</w:t>
            </w:r>
          </w:p>
          <w:p w:rsidR="00000000" w:rsidRPr="002B26DC" w:rsidP="002B26DC">
            <w:pPr>
              <w:pStyle w:val="BodyText"/>
            </w:pPr>
          </w:p>
          <w:p w:rsidR="00000000" w:rsidRPr="002B26DC" w:rsidP="002B26DC">
            <w:pPr>
              <w:pStyle w:val="BodyText"/>
            </w:pPr>
            <w:r w:rsidRPr="002B26DC">
              <w:t>In addition to legal and ethical responsibilities, all units of competency in the ACM10 Animal Care and Management Training Package have the requirement for animals to be handled gently and calmly. The individu</w:t>
            </w:r>
            <w:r w:rsidRPr="002B26DC">
              <w:t>al is required to exhibit appropriate care for animals so that stress and discomfort is minimised.</w:t>
            </w:r>
          </w:p>
        </w:tc>
      </w:tr>
    </w:tbl>
    <w:p w:rsidR="00000000" w:rsidRPr="002B26DC" w:rsidP="002B26DC">
      <w:pPr>
        <w:pStyle w:val="BodyText"/>
      </w:pPr>
    </w:p>
    <w:p w:rsidR="00000000" w:rsidRPr="002B26DC" w:rsidP="002B26DC">
      <w:pPr>
        <w:pStyle w:val="AllowPageBreak"/>
      </w:pPr>
    </w:p>
    <w:p w:rsidR="00000000" w:rsidRPr="002B26DC" w:rsidP="002B26DC">
      <w:pPr>
        <w:pStyle w:val="Heading1"/>
      </w:pPr>
      <w:bookmarkStart w:id="4" w:name="O_57318"/>
      <w:bookmarkEnd w:id="4"/>
      <w:r w:rsidRPr="002B26DC">
        <w:t>Licensing/Regulatory Information</w:t>
      </w:r>
    </w:p>
    <w:p w:rsidR="00000000" w:rsidRPr="002B26DC" w:rsidP="002B26DC">
      <w:pPr>
        <w:pStyle w:val="BodyText"/>
      </w:pPr>
      <w:r w:rsidRPr="002B26DC">
        <w:t>Not applicable.</w:t>
      </w:r>
    </w:p>
    <w:p w:rsidR="00000000" w:rsidRPr="002B26DC" w:rsidP="002B26DC">
      <w:pPr>
        <w:pStyle w:val="AllowPageBreak"/>
      </w:pPr>
    </w:p>
    <w:p w:rsidR="00000000" w:rsidRPr="002B26DC" w:rsidP="002B26DC">
      <w:pPr>
        <w:pStyle w:val="Heading1"/>
      </w:pPr>
      <w:bookmarkStart w:id="5" w:name="O_57320"/>
      <w:bookmarkEnd w:id="5"/>
      <w:r w:rsidRPr="002B26DC">
        <w:t>Pre-Requisites</w:t>
      </w:r>
    </w:p>
    <w:tbl>
      <w:tblPr>
        <w:tblW w:w="0" w:type="auto"/>
        <w:tblLayout w:type="fixed"/>
        <w:tblCellMar>
          <w:left w:w="62" w:type="dxa"/>
          <w:right w:w="62" w:type="dxa"/>
        </w:tblCellMar>
        <w:tblLook w:val="0000"/>
      </w:tblPr>
      <w:tblGrid>
        <w:gridCol w:w="2775"/>
        <w:gridCol w:w="1295"/>
        <w:gridCol w:w="4452"/>
      </w:tblGrid>
      <w:tr w:rsidTr="0029063F">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26DC">
            <w:pPr>
              <w:pStyle w:val="BodyText"/>
              <w:rPr>
                <w:lang w:val="en-NZ"/>
              </w:rPr>
            </w:pPr>
            <w:r w:rsidRPr="002B26DC">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26DC">
            <w:pPr>
              <w:pStyle w:val="BodyText"/>
              <w:rPr>
                <w:lang w:val="en-NZ"/>
              </w:rPr>
            </w:pPr>
          </w:p>
        </w:tc>
      </w:tr>
      <w:tr w:rsidTr="0029063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26DC">
            <w:pPr>
              <w:pStyle w:val="BodyText"/>
              <w:rPr>
                <w:lang w:val="en-NZ"/>
              </w:rPr>
            </w:pPr>
          </w:p>
        </w:tc>
      </w:tr>
      <w:tr w:rsidTr="0029063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26DC" w:rsidP="002B26DC">
            <w:pPr>
              <w:pStyle w:val="BodyText"/>
            </w:pPr>
          </w:p>
        </w:tc>
      </w:tr>
    </w:tbl>
    <w:p w:rsidR="00000000" w:rsidRPr="002B26DC" w:rsidP="002B26DC">
      <w:pPr>
        <w:pStyle w:val="BodyText"/>
      </w:pPr>
    </w:p>
    <w:p w:rsidR="00000000" w:rsidRPr="002B26DC" w:rsidP="002B26DC">
      <w:pPr>
        <w:pStyle w:val="AllowPageBreak"/>
      </w:pPr>
    </w:p>
    <w:p w:rsidR="00000000" w:rsidRPr="002B26DC" w:rsidP="002B26DC">
      <w:pPr>
        <w:pStyle w:val="Heading1"/>
      </w:pPr>
      <w:bookmarkStart w:id="6" w:name="O_57319"/>
      <w:bookmarkEnd w:id="6"/>
      <w:r w:rsidRPr="002B26DC">
        <w:t>Employability Skills Information</w:t>
      </w:r>
    </w:p>
    <w:tbl>
      <w:tblPr>
        <w:tblW w:w="0" w:type="auto"/>
        <w:tblLayout w:type="fixed"/>
        <w:tblCellMar>
          <w:left w:w="62" w:type="dxa"/>
          <w:right w:w="62" w:type="dxa"/>
        </w:tblCellMar>
        <w:tblLook w:val="0000"/>
      </w:tblPr>
      <w:tblGrid>
        <w:gridCol w:w="2802"/>
        <w:gridCol w:w="5720"/>
      </w:tblGrid>
      <w:tr w:rsidTr="0029063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26DC">
            <w:pPr>
              <w:pStyle w:val="BodyText"/>
              <w:rPr>
                <w:lang w:val="en-NZ"/>
              </w:rPr>
            </w:pPr>
            <w:r w:rsidRPr="002B26D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26DC" w:rsidP="002B26DC">
            <w:pPr>
              <w:pStyle w:val="BodyText"/>
            </w:pPr>
            <w:r w:rsidRPr="002B26DC">
              <w:t>This unit contains employability skills.</w:t>
            </w:r>
          </w:p>
        </w:tc>
      </w:tr>
    </w:tbl>
    <w:p w:rsidR="00000000" w:rsidRPr="002B26DC" w:rsidP="002B26DC">
      <w:pPr>
        <w:pStyle w:val="BodyText"/>
      </w:pPr>
    </w:p>
    <w:p w:rsidR="00000000" w:rsidRPr="002B26DC" w:rsidP="002B26DC">
      <w:pPr>
        <w:pStyle w:val="AllowPageBreak"/>
      </w:pPr>
    </w:p>
    <w:p w:rsidR="00000000" w:rsidRPr="002B26DC" w:rsidP="002B26DC">
      <w:pPr>
        <w:pStyle w:val="Heading1"/>
      </w:pPr>
      <w:bookmarkStart w:id="7" w:name="O_57321"/>
      <w:bookmarkEnd w:id="7"/>
      <w:r w:rsidRPr="002B26DC">
        <w:t>Elements and Performance Criteria Pre-Content</w:t>
      </w:r>
    </w:p>
    <w:tbl>
      <w:tblPr>
        <w:tblW w:w="0" w:type="auto"/>
        <w:tblLayout w:type="fixed"/>
        <w:tblCellMar>
          <w:left w:w="62" w:type="dxa"/>
          <w:right w:w="62" w:type="dxa"/>
        </w:tblCellMar>
        <w:tblLook w:val="0000"/>
      </w:tblPr>
      <w:tblGrid>
        <w:gridCol w:w="2527"/>
        <w:gridCol w:w="5995"/>
      </w:tblGrid>
      <w:tr w:rsidTr="0029063F">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26DC">
            <w:pPr>
              <w:pStyle w:val="BodyText"/>
              <w:rPr>
                <w:lang w:val="en-NZ"/>
              </w:rPr>
            </w:pPr>
            <w:r w:rsidRPr="002B26DC">
              <w:t>Elements describe the essential outcomes of a unit of competency.</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26DC" w:rsidP="002B26DC">
            <w:pPr>
              <w:pStyle w:val="BodyText"/>
            </w:pPr>
            <w:r w:rsidRPr="002B26DC">
              <w:t>Performance criteria describe th</w:t>
            </w:r>
            <w:r w:rsidRPr="002B26DC">
              <w:t>e performance needed to demonstrate achievement of the element. Where bold italicised text is used, further information is detailed in the required skills and knowledge section and the range statement. Assessment of performance is to be consistent with the</w:t>
            </w:r>
            <w:r w:rsidRPr="002B26DC">
              <w:t xml:space="preserve"> evidence guide.</w:t>
            </w:r>
          </w:p>
        </w:tc>
      </w:tr>
    </w:tbl>
    <w:p w:rsidR="00000000" w:rsidRPr="002B26DC" w:rsidP="002B26DC">
      <w:pPr>
        <w:pStyle w:val="BodyText"/>
      </w:pPr>
    </w:p>
    <w:p w:rsidR="00000000" w:rsidRPr="002B26DC" w:rsidP="002B26DC">
      <w:pPr>
        <w:pStyle w:val="AllowPageBreak"/>
      </w:pPr>
    </w:p>
    <w:p w:rsidR="00000000" w:rsidRPr="002B26DC" w:rsidP="002B26DC">
      <w:pPr>
        <w:pStyle w:val="Heading1"/>
      </w:pPr>
      <w:bookmarkStart w:id="8" w:name="O_57322"/>
      <w:bookmarkEnd w:id="8"/>
      <w:r w:rsidRPr="002B26DC">
        <w:t>Elements and Performance Criteria</w:t>
      </w:r>
    </w:p>
    <w:tbl>
      <w:tblPr>
        <w:tblW w:w="0" w:type="auto"/>
        <w:tblLayout w:type="fixed"/>
        <w:tblCellMar>
          <w:left w:w="62" w:type="dxa"/>
          <w:right w:w="62" w:type="dxa"/>
        </w:tblCellMar>
        <w:tblLook w:val="0000"/>
      </w:tblPr>
      <w:tblGrid>
        <w:gridCol w:w="2527"/>
        <w:gridCol w:w="5995"/>
      </w:tblGrid>
      <w:tr w:rsidTr="0029063F">
        <w:tblPrEx>
          <w:tblW w:w="0" w:type="auto"/>
          <w:tblLayout w:type="fixed"/>
          <w:tblCellMar>
            <w:left w:w="62" w:type="dxa"/>
            <w:right w:w="62" w:type="dxa"/>
          </w:tblCellMar>
          <w:tblLook w:val="0000"/>
        </w:tblPrEx>
        <w:trPr>
          <w:tblHeader/>
        </w:trPr>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26DC" w:rsidP="002B26DC">
            <w:pPr>
              <w:pStyle w:val="BodyText"/>
            </w:pPr>
            <w:r w:rsidRPr="002B26DC">
              <w:rPr>
                <w:rStyle w:val="SpecialBold"/>
              </w:rPr>
              <w:t>ELEMENT</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26DC">
            <w:pPr>
              <w:pStyle w:val="BodyText"/>
              <w:rPr>
                <w:lang w:val="en-NZ"/>
              </w:rPr>
            </w:pPr>
            <w:r w:rsidRPr="002B26DC">
              <w:rPr>
                <w:rStyle w:val="SpecialBold"/>
              </w:rPr>
              <w:t>PERFORMANCE CRITERIA</w:t>
            </w:r>
          </w:p>
        </w:tc>
      </w:tr>
      <w:tr w:rsidTr="0029063F">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26DC">
            <w:pPr>
              <w:pStyle w:val="List"/>
              <w:rPr>
                <w:lang w:val="en-NZ"/>
              </w:rPr>
            </w:pPr>
            <w:r w:rsidRPr="002B26DC">
              <w:t>1.</w:t>
            </w:r>
            <w:r w:rsidRPr="002B26DC">
              <w:tab/>
              <w:t>Conduct interview</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26DC" w:rsidP="002B26DC">
            <w:pPr>
              <w:pStyle w:val="List2"/>
            </w:pPr>
            <w:r w:rsidRPr="002B26DC">
              <w:t>1.1.</w:t>
            </w:r>
            <w:r w:rsidRPr="002B26DC">
              <w:tab/>
            </w:r>
            <w:r w:rsidRPr="002B26DC">
              <w:rPr>
                <w:rStyle w:val="BoldandItalics"/>
              </w:rPr>
              <w:t>Purpose of interview</w:t>
            </w:r>
            <w:r w:rsidRPr="002B26DC">
              <w:t xml:space="preserve"> is determined. </w:t>
            </w:r>
          </w:p>
          <w:p w:rsidR="00000000" w:rsidRPr="002B26DC" w:rsidP="002B26DC">
            <w:pPr>
              <w:pStyle w:val="List2"/>
            </w:pPr>
            <w:r w:rsidRPr="002B26DC">
              <w:t>1.2.</w:t>
            </w:r>
            <w:r w:rsidRPr="002B26DC">
              <w:tab/>
              <w:t xml:space="preserve">Venue, </w:t>
            </w:r>
            <w:r w:rsidRPr="002B26DC">
              <w:rPr>
                <w:rStyle w:val="BoldandItalics"/>
              </w:rPr>
              <w:t>equipment</w:t>
            </w:r>
            <w:r w:rsidRPr="002B26DC">
              <w:t xml:space="preserve"> and </w:t>
            </w:r>
            <w:r w:rsidRPr="002B26DC">
              <w:rPr>
                <w:rStyle w:val="BoldandItalics"/>
              </w:rPr>
              <w:t>personnel</w:t>
            </w:r>
            <w:r w:rsidRPr="002B26DC">
              <w:t xml:space="preserve"> for conducting interview are selected and prepared in accordance with organisational and legislative requirements. </w:t>
            </w:r>
          </w:p>
          <w:p w:rsidR="00000000" w:rsidRPr="002B26DC" w:rsidP="002B26DC">
            <w:pPr>
              <w:pStyle w:val="List2"/>
            </w:pPr>
            <w:r w:rsidRPr="002B26DC">
              <w:t>1.3.</w:t>
            </w:r>
            <w:r w:rsidRPr="002B26DC">
              <w:tab/>
            </w:r>
            <w:r w:rsidRPr="002B26DC">
              <w:rPr>
                <w:rStyle w:val="BoldandItalics"/>
              </w:rPr>
              <w:t>Interviewee</w:t>
            </w:r>
            <w:r w:rsidRPr="002B26DC">
              <w:t xml:space="preserve"> is informed of the interview and their rights in accordance with legislative requirements. </w:t>
            </w:r>
          </w:p>
          <w:p w:rsidR="00000000" w:rsidRPr="002B26DC" w:rsidP="002B26DC">
            <w:pPr>
              <w:pStyle w:val="List2"/>
            </w:pPr>
            <w:r w:rsidRPr="002B26DC">
              <w:t>1.4.</w:t>
            </w:r>
            <w:r w:rsidRPr="002B26DC">
              <w:tab/>
              <w:t>Comprehensive questions r</w:t>
            </w:r>
            <w:r w:rsidRPr="002B26DC">
              <w:t xml:space="preserve">elevant to the situation and interviewee are asked using appropriate questioning techniques. </w:t>
            </w:r>
          </w:p>
          <w:p w:rsidR="00000000" w:rsidRPr="002B26DC" w:rsidP="002B26DC">
            <w:pPr>
              <w:pStyle w:val="List2"/>
            </w:pPr>
            <w:r w:rsidRPr="002B26DC">
              <w:t>1.5.</w:t>
            </w:r>
            <w:r w:rsidRPr="002B26DC">
              <w:tab/>
              <w:t xml:space="preserve">Interview is recorded and statement is taken in accordance with organisational and legislative requirements. </w:t>
            </w:r>
          </w:p>
          <w:p w:rsidR="00000000" w:rsidRPr="002B26DC" w:rsidP="002B26DC">
            <w:pPr>
              <w:pStyle w:val="List2"/>
            </w:pPr>
            <w:r w:rsidRPr="002B26DC">
              <w:t>1.6.</w:t>
            </w:r>
            <w:r w:rsidRPr="002B26DC">
              <w:tab/>
              <w:t>Information obtained from the interview is</w:t>
            </w:r>
            <w:r w:rsidRPr="002B26DC">
              <w:t xml:space="preserve"> reviewed and clarified to ensure relevance and sufficiency. </w:t>
            </w:r>
          </w:p>
          <w:p w:rsidR="00000000" w:rsidRPr="002B26DC" w:rsidP="002B26DC">
            <w:pPr>
              <w:pStyle w:val="List2"/>
            </w:pPr>
            <w:r w:rsidRPr="002B26DC">
              <w:t>1.7.</w:t>
            </w:r>
            <w:r w:rsidRPr="002B26DC">
              <w:tab/>
              <w:t xml:space="preserve">Record of interview is produced in accordance with organisational and legislative requirements once interview is concluded. </w:t>
            </w:r>
          </w:p>
          <w:p w:rsidR="00000000" w:rsidP="002B26DC">
            <w:pPr>
              <w:pStyle w:val="List2"/>
              <w:rPr>
                <w:lang w:val="en-NZ"/>
              </w:rPr>
            </w:pPr>
            <w:r w:rsidRPr="002B26DC">
              <w:t>1.8.</w:t>
            </w:r>
            <w:r w:rsidRPr="002B26DC">
              <w:tab/>
              <w:t>Assistance from supervisor and/or experts is sought where r</w:t>
            </w:r>
            <w:r w:rsidRPr="002B26DC">
              <w:t>equired.</w:t>
            </w:r>
          </w:p>
        </w:tc>
      </w:tr>
      <w:tr w:rsidTr="0029063F">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26DC">
            <w:pPr>
              <w:pStyle w:val="List"/>
              <w:rPr>
                <w:lang w:val="en-NZ"/>
              </w:rPr>
            </w:pPr>
            <w:r w:rsidRPr="002B26DC">
              <w:t>2.</w:t>
            </w:r>
            <w:r w:rsidRPr="002B26DC">
              <w:tab/>
              <w:t>Prepare evidence</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26DC" w:rsidP="002B26DC">
            <w:pPr>
              <w:pStyle w:val="List2"/>
            </w:pPr>
            <w:r w:rsidRPr="002B26DC">
              <w:t>2.1.</w:t>
            </w:r>
            <w:r w:rsidRPr="002B26DC">
              <w:tab/>
              <w:t xml:space="preserve">All related information is collected, collated and recorded. </w:t>
            </w:r>
          </w:p>
          <w:p w:rsidR="00000000" w:rsidRPr="002B26DC" w:rsidP="002B26DC">
            <w:pPr>
              <w:pStyle w:val="List2"/>
            </w:pPr>
            <w:r w:rsidRPr="002B26DC">
              <w:t>2.2.</w:t>
            </w:r>
            <w:r w:rsidRPr="002B26DC">
              <w:tab/>
              <w:t xml:space="preserve">Information is analysed to confirm its authenticity and reliability as evidence and to identify further evidence to be collected. </w:t>
            </w:r>
          </w:p>
          <w:p w:rsidR="00000000" w:rsidRPr="002B26DC" w:rsidP="002B26DC">
            <w:pPr>
              <w:pStyle w:val="List2"/>
            </w:pPr>
            <w:r w:rsidRPr="002B26DC">
              <w:t>2.3.</w:t>
            </w:r>
            <w:r w:rsidRPr="002B26DC">
              <w:tab/>
            </w:r>
            <w:r w:rsidRPr="002B26DC">
              <w:t xml:space="preserve">Non-admissible evidence is separated and retained. </w:t>
            </w:r>
          </w:p>
          <w:p w:rsidR="00000000" w:rsidRPr="002B26DC" w:rsidP="002B26DC">
            <w:pPr>
              <w:pStyle w:val="List2"/>
            </w:pPr>
            <w:r w:rsidRPr="002B26DC">
              <w:t>2.4.</w:t>
            </w:r>
            <w:r w:rsidRPr="002B26DC">
              <w:tab/>
            </w:r>
            <w:r w:rsidRPr="002B26DC">
              <w:rPr>
                <w:rStyle w:val="BoldandItalics"/>
              </w:rPr>
              <w:t>Admissible evidence</w:t>
            </w:r>
            <w:r w:rsidRPr="002B26DC">
              <w:t xml:space="preserve"> is prepared and reviewed to confirm if sufficient to proceed to prosecution. </w:t>
            </w:r>
          </w:p>
          <w:p w:rsidR="00000000" w:rsidRPr="002B26DC" w:rsidP="002B26DC">
            <w:pPr>
              <w:pStyle w:val="List2"/>
            </w:pPr>
            <w:r w:rsidRPr="002B26DC">
              <w:t>2.5.</w:t>
            </w:r>
            <w:r w:rsidRPr="002B26DC">
              <w:tab/>
              <w:t>All evidence is secured and recorded in accordance with organisational and legislative requireme</w:t>
            </w:r>
            <w:r w:rsidRPr="002B26DC">
              <w:t xml:space="preserve">nts. </w:t>
            </w:r>
          </w:p>
          <w:p w:rsidR="00000000" w:rsidRPr="002B26DC" w:rsidP="002B26DC">
            <w:pPr>
              <w:pStyle w:val="List2"/>
            </w:pPr>
            <w:r w:rsidRPr="002B26DC">
              <w:t>2.6.</w:t>
            </w:r>
            <w:r w:rsidRPr="002B26DC">
              <w:tab/>
            </w:r>
            <w:r w:rsidRPr="002B26DC">
              <w:rPr>
                <w:rStyle w:val="BoldandItalics"/>
              </w:rPr>
              <w:t>Witnesses</w:t>
            </w:r>
            <w:r w:rsidRPr="002B26DC">
              <w:t xml:space="preserve"> are coordinated. </w:t>
            </w:r>
          </w:p>
          <w:p w:rsidR="00000000" w:rsidRPr="002B26DC" w:rsidP="002B26DC">
            <w:pPr>
              <w:pStyle w:val="List2"/>
            </w:pPr>
            <w:r w:rsidRPr="002B26DC">
              <w:t>2.7.</w:t>
            </w:r>
            <w:r w:rsidRPr="002B26DC">
              <w:tab/>
              <w:t xml:space="preserve">Brief of evidence is developed that contains the required </w:t>
            </w:r>
            <w:r w:rsidRPr="002B26DC">
              <w:rPr>
                <w:rStyle w:val="BoldandItalics"/>
              </w:rPr>
              <w:t>information</w:t>
            </w:r>
            <w:r w:rsidRPr="002B26DC">
              <w:t xml:space="preserve"> and addresses all elements of the offence. </w:t>
            </w:r>
          </w:p>
          <w:p w:rsidR="00000000" w:rsidP="002B26DC">
            <w:pPr>
              <w:pStyle w:val="List2"/>
              <w:rPr>
                <w:lang w:val="en-NZ"/>
              </w:rPr>
            </w:pPr>
            <w:r w:rsidRPr="002B26DC">
              <w:t>2.8.</w:t>
            </w:r>
            <w:r w:rsidRPr="002B26DC">
              <w:tab/>
              <w:t>Assistance from supervisor and/or experts is sought where required.</w:t>
            </w:r>
          </w:p>
        </w:tc>
      </w:tr>
      <w:tr w:rsidTr="0029063F">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26DC">
            <w:pPr>
              <w:pStyle w:val="List"/>
              <w:rPr>
                <w:lang w:val="en-NZ"/>
              </w:rPr>
            </w:pPr>
            <w:r w:rsidRPr="002B26DC">
              <w:t>3.</w:t>
            </w:r>
            <w:r w:rsidRPr="002B26DC">
              <w:tab/>
              <w:t>Present evidence</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26DC" w:rsidP="002B26DC">
            <w:pPr>
              <w:pStyle w:val="List2"/>
            </w:pPr>
            <w:r w:rsidRPr="002B26DC">
              <w:t>3.1.</w:t>
            </w:r>
            <w:r w:rsidRPr="002B26DC">
              <w:tab/>
              <w:t xml:space="preserve">Arrangements, role and involvement in proceedings are confirmed. </w:t>
            </w:r>
          </w:p>
          <w:p w:rsidR="00000000" w:rsidRPr="002B26DC" w:rsidP="002B26DC">
            <w:pPr>
              <w:pStyle w:val="List2"/>
            </w:pPr>
            <w:r w:rsidRPr="002B26DC">
              <w:t>3.2.</w:t>
            </w:r>
            <w:r w:rsidRPr="002B26DC">
              <w:tab/>
              <w:t xml:space="preserve">Documentation and exhibits are prepared in accordance with organisational and legislative requirements. </w:t>
            </w:r>
          </w:p>
          <w:p w:rsidR="00000000" w:rsidRPr="002B26DC" w:rsidP="002B26DC">
            <w:pPr>
              <w:pStyle w:val="List2"/>
            </w:pPr>
            <w:r w:rsidRPr="002B26DC">
              <w:t>3.3.</w:t>
            </w:r>
            <w:r w:rsidRPr="002B26DC">
              <w:tab/>
              <w:t>Protocols and rules of evidence relevant to the organisation and/or case a</w:t>
            </w:r>
            <w:r w:rsidRPr="002B26DC">
              <w:t xml:space="preserve">re adhered to. </w:t>
            </w:r>
          </w:p>
          <w:p w:rsidR="00000000" w:rsidRPr="002B26DC" w:rsidP="002B26DC">
            <w:pPr>
              <w:pStyle w:val="List2"/>
            </w:pPr>
            <w:r w:rsidRPr="002B26DC">
              <w:t>3.4.</w:t>
            </w:r>
            <w:r w:rsidRPr="002B26DC">
              <w:tab/>
              <w:t xml:space="preserve">Evidence is presented in a clear, concise and articulate manner. </w:t>
            </w:r>
          </w:p>
          <w:p w:rsidR="00000000" w:rsidRPr="002B26DC" w:rsidP="002B26DC">
            <w:pPr>
              <w:pStyle w:val="List2"/>
            </w:pPr>
            <w:r w:rsidRPr="002B26DC">
              <w:t>3.5.</w:t>
            </w:r>
            <w:r w:rsidRPr="002B26DC">
              <w:tab/>
              <w:t xml:space="preserve">Outcomes of the proceedings are noted and filed and reports are completed where required in accordance with organisational and legislative requirements. </w:t>
            </w:r>
          </w:p>
          <w:p w:rsidR="00000000" w:rsidRPr="002B26DC" w:rsidP="002B26DC">
            <w:pPr>
              <w:pStyle w:val="List2"/>
            </w:pPr>
            <w:r w:rsidRPr="002B26DC">
              <w:t>3.6.</w:t>
            </w:r>
            <w:r w:rsidRPr="002B26DC">
              <w:tab/>
              <w:t>Any r</w:t>
            </w:r>
            <w:r w:rsidRPr="002B26DC">
              <w:t>equired actions are implemented in accordance with organisational and legislative requirements.</w:t>
            </w:r>
          </w:p>
        </w:tc>
      </w:tr>
    </w:tbl>
    <w:p w:rsidR="00000000" w:rsidRPr="002B26DC" w:rsidP="002B26DC">
      <w:pPr>
        <w:pStyle w:val="BodyText"/>
      </w:pPr>
    </w:p>
    <w:p w:rsidR="00000000" w:rsidRPr="002B26DC" w:rsidP="002B26DC">
      <w:pPr>
        <w:pStyle w:val="AllowPageBreak"/>
      </w:pPr>
    </w:p>
    <w:p w:rsidR="00000000" w:rsidRPr="002B26DC" w:rsidP="002B26DC">
      <w:pPr>
        <w:pStyle w:val="Heading1"/>
      </w:pPr>
      <w:bookmarkStart w:id="9" w:name="O_57323"/>
      <w:bookmarkEnd w:id="9"/>
      <w:r w:rsidRPr="002B26DC">
        <w:t>Required Skills and Knowledge</w:t>
      </w:r>
    </w:p>
    <w:tbl>
      <w:tblPr>
        <w:tblW w:w="0" w:type="auto"/>
        <w:tblLayout w:type="fixed"/>
        <w:tblCellMar>
          <w:left w:w="62" w:type="dxa"/>
          <w:right w:w="62" w:type="dxa"/>
        </w:tblCellMar>
        <w:tblLook w:val="0000"/>
      </w:tblPr>
      <w:tblGrid>
        <w:gridCol w:w="8522"/>
      </w:tblGrid>
      <w:tr w:rsidTr="0029063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B26DC">
            <w:pPr>
              <w:pStyle w:val="BodyText"/>
              <w:rPr>
                <w:lang w:val="en-NZ"/>
              </w:rPr>
            </w:pPr>
            <w:r w:rsidRPr="002B26DC">
              <w:rPr>
                <w:rStyle w:val="SpecialBold"/>
              </w:rPr>
              <w:t>REQUIRED SKILLS AND KNOWLEDGE</w:t>
            </w:r>
          </w:p>
        </w:tc>
      </w:tr>
      <w:tr w:rsidTr="0029063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B26DC">
            <w:pPr>
              <w:pStyle w:val="BodyText"/>
              <w:rPr>
                <w:lang w:val="en-NZ"/>
              </w:rPr>
            </w:pPr>
            <w:r w:rsidRPr="002B26DC">
              <w:t>This section describes the skills and knowledge required for this unit.</w:t>
            </w:r>
          </w:p>
        </w:tc>
      </w:tr>
      <w:tr w:rsidTr="0029063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26DC">
            <w:pPr>
              <w:pStyle w:val="BodyText"/>
              <w:rPr>
                <w:lang w:val="en-NZ"/>
              </w:rPr>
            </w:pPr>
            <w:r w:rsidRPr="002B26DC">
              <w:rPr>
                <w:rStyle w:val="SpecialBold"/>
              </w:rPr>
              <w:t>Required skills</w:t>
            </w:r>
          </w:p>
        </w:tc>
      </w:tr>
      <w:tr w:rsidTr="0029063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26DC" w:rsidP="002B26DC">
            <w:pPr>
              <w:pStyle w:val="ListBullet"/>
            </w:pPr>
            <w:r w:rsidRPr="002B26DC">
              <w:t>analyse, research and take notes</w:t>
            </w:r>
          </w:p>
          <w:p w:rsidR="00000000" w:rsidRPr="002B26DC" w:rsidP="002B26DC">
            <w:pPr>
              <w:pStyle w:val="ListBullet"/>
            </w:pPr>
            <w:r w:rsidRPr="002B26DC">
              <w:t>apply communication techniques including engaging in complex exchanges of oral information, varying style and language structure to suit a range of interviewees</w:t>
            </w:r>
          </w:p>
          <w:p w:rsidR="00000000" w:rsidRPr="002B26DC" w:rsidP="002B26DC">
            <w:pPr>
              <w:pStyle w:val="ListBullet"/>
            </w:pPr>
            <w:r w:rsidRPr="002B26DC">
              <w:t>apply conflict resolution skills as required</w:t>
            </w:r>
          </w:p>
          <w:p w:rsidR="00000000" w:rsidRPr="002B26DC" w:rsidP="002B26DC">
            <w:pPr>
              <w:pStyle w:val="ListBullet"/>
            </w:pPr>
            <w:r w:rsidRPr="002B26DC">
              <w:t>interviewing and questioning techniques</w:t>
            </w:r>
          </w:p>
          <w:p w:rsidR="00000000" w:rsidRPr="002B26DC" w:rsidP="002B26DC">
            <w:pPr>
              <w:pStyle w:val="ListBullet"/>
            </w:pPr>
            <w:r w:rsidRPr="002B26DC">
              <w:t>make comparisons and exercise judgement about facts in written materials</w:t>
            </w:r>
          </w:p>
          <w:p w:rsidR="00000000" w:rsidRPr="002B26DC" w:rsidP="002B26DC">
            <w:pPr>
              <w:pStyle w:val="ListBullet"/>
            </w:pPr>
            <w:r w:rsidRPr="002B26DC">
              <w:t>operate complex technical and electronic equipment to record interviews where necessary</w:t>
            </w:r>
          </w:p>
          <w:p w:rsidR="00000000" w:rsidRPr="002B26DC" w:rsidP="002B26DC">
            <w:pPr>
              <w:pStyle w:val="ListBullet"/>
            </w:pPr>
            <w:r w:rsidRPr="002B26DC">
              <w:t>prepare and write complex documents (e.g. witness stat</w:t>
            </w:r>
            <w:r w:rsidRPr="002B26DC">
              <w:t>ements and briefs of evidence) that reflect key points made in oral statements</w:t>
            </w:r>
          </w:p>
          <w:p w:rsidR="00000000" w:rsidRPr="002B26DC" w:rsidP="002B26DC">
            <w:pPr>
              <w:pStyle w:val="ListBullet"/>
            </w:pPr>
            <w:r w:rsidRPr="002B26DC">
              <w:t>present evidence clearly and concisely</w:t>
            </w:r>
          </w:p>
          <w:p w:rsidR="00000000" w:rsidRPr="002B26DC" w:rsidP="002B26DC">
            <w:pPr>
              <w:pStyle w:val="ListBullet"/>
            </w:pPr>
            <w:r w:rsidRPr="002B26DC">
              <w:t>literacy skills to read and follow organisational policies and procedures, including occupational health and safety (OHS) and animal welfa</w:t>
            </w:r>
            <w:r w:rsidRPr="002B26DC">
              <w:t>re; follow sequenced written instructions; record accurately and legibly information collected; and select and apply procedures to a range of defined tasks</w:t>
            </w:r>
          </w:p>
          <w:p w:rsidR="00000000" w:rsidRPr="002B26DC" w:rsidP="002B26DC">
            <w:pPr>
              <w:pStyle w:val="ListBullet"/>
            </w:pPr>
            <w:r w:rsidRPr="002B26DC">
              <w:t>oral communication skills/language to fulfil the job role as specified by the organisation, includin</w:t>
            </w:r>
            <w:r w:rsidRPr="002B26DC">
              <w:t>g questioning techniques, active listening, asking for clarification and consulting with or seeking advice from supervisor</w:t>
            </w:r>
          </w:p>
          <w:p w:rsidR="00000000" w:rsidRPr="002B26DC" w:rsidP="002B26DC">
            <w:pPr>
              <w:pStyle w:val="ListBullet"/>
            </w:pPr>
            <w:r w:rsidRPr="002B26DC">
              <w:t>numeracy skills to estimate, calculate and record routine workplace measures</w:t>
            </w:r>
          </w:p>
          <w:p w:rsidR="00000000" w:rsidRPr="002B26DC" w:rsidP="002B26DC">
            <w:pPr>
              <w:pStyle w:val="ListBullet"/>
            </w:pPr>
            <w:r w:rsidRPr="002B26DC">
              <w:t>interpersonal skills to work with others and relate to p</w:t>
            </w:r>
            <w:r w:rsidRPr="002B26DC">
              <w:t>eople from a range of cultural, social and religious backgrounds and with a range of physical and mental abilities</w:t>
            </w:r>
          </w:p>
          <w:p w:rsidR="00000000" w:rsidRPr="002B26DC" w:rsidP="002B26DC">
            <w:pPr>
              <w:pStyle w:val="ListBullet"/>
            </w:pPr>
            <w:r w:rsidRPr="002B26DC">
              <w:t>problem-solving skills to use available resources and prioritise daily tasks</w:t>
            </w:r>
          </w:p>
          <w:p w:rsidR="00000000" w:rsidP="002B26DC">
            <w:pPr>
              <w:pStyle w:val="ListBullet"/>
              <w:rPr>
                <w:lang w:val="en-NZ"/>
              </w:rPr>
            </w:pPr>
            <w:r w:rsidRPr="002B26DC">
              <w:t>write reports using formal structures and language.</w:t>
            </w:r>
          </w:p>
        </w:tc>
      </w:tr>
      <w:tr w:rsidTr="0029063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26DC">
            <w:pPr>
              <w:pStyle w:val="BodyText"/>
              <w:rPr>
                <w:lang w:val="en-NZ"/>
              </w:rPr>
            </w:pPr>
            <w:r w:rsidRPr="002B26DC">
              <w:rPr>
                <w:rStyle w:val="SpecialBold"/>
              </w:rPr>
              <w:t>Required kn</w:t>
            </w:r>
            <w:r w:rsidRPr="002B26DC">
              <w:rPr>
                <w:rStyle w:val="SpecialBold"/>
              </w:rPr>
              <w:t>owledge</w:t>
            </w:r>
          </w:p>
        </w:tc>
      </w:tr>
      <w:tr w:rsidTr="0029063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26DC" w:rsidP="002B26DC">
            <w:pPr>
              <w:pStyle w:val="ListBullet"/>
            </w:pPr>
            <w:r w:rsidRPr="002B26DC">
              <w:t>admissible evidence</w:t>
            </w:r>
          </w:p>
          <w:p w:rsidR="00000000" w:rsidRPr="002B26DC" w:rsidP="002B26DC">
            <w:pPr>
              <w:pStyle w:val="ListBullet"/>
            </w:pPr>
            <w:r w:rsidRPr="002B26DC">
              <w:t>burden of proof</w:t>
            </w:r>
          </w:p>
          <w:p w:rsidR="00000000" w:rsidRPr="002B26DC" w:rsidP="002B26DC">
            <w:pPr>
              <w:pStyle w:val="ListBullet"/>
            </w:pPr>
            <w:r w:rsidRPr="002B26DC">
              <w:t>common law versus judicial precedent versus legislation</w:t>
            </w:r>
          </w:p>
          <w:p w:rsidR="00000000" w:rsidRPr="002B26DC" w:rsidP="002B26DC">
            <w:pPr>
              <w:pStyle w:val="ListBullet"/>
            </w:pPr>
            <w:r w:rsidRPr="002B26DC">
              <w:t>court/tribunal/commission procedures, protocols and processes</w:t>
            </w:r>
          </w:p>
          <w:p w:rsidR="00000000" w:rsidRPr="002B26DC" w:rsidP="002B26DC">
            <w:pPr>
              <w:pStyle w:val="ListBullet"/>
            </w:pPr>
            <w:r w:rsidRPr="002B26DC">
              <w:t>legislation relevant to the organisation and the case</w:t>
            </w:r>
          </w:p>
          <w:p w:rsidR="00000000" w:rsidRPr="002B26DC" w:rsidP="002B26DC">
            <w:pPr>
              <w:pStyle w:val="ListBullet"/>
            </w:pPr>
            <w:r w:rsidRPr="002B26DC">
              <w:t>legislative and organisational requirements for the conduct of interviews, including electronic recording equipment</w:t>
            </w:r>
          </w:p>
          <w:p w:rsidR="00000000" w:rsidRPr="002B26DC" w:rsidP="002B26DC">
            <w:pPr>
              <w:pStyle w:val="ListBullet"/>
            </w:pPr>
            <w:r w:rsidRPr="002B26DC">
              <w:t>legislative and organisational requirements for the documentation of interviews, information and evidence</w:t>
            </w:r>
          </w:p>
          <w:p w:rsidR="00000000" w:rsidRPr="002B26DC" w:rsidP="002B26DC">
            <w:pPr>
              <w:pStyle w:val="ListBullet"/>
            </w:pPr>
            <w:r w:rsidRPr="002B26DC">
              <w:t>legislative requirements for prese</w:t>
            </w:r>
            <w:r w:rsidRPr="002B26DC">
              <w:t>nting evidence</w:t>
            </w:r>
          </w:p>
          <w:p w:rsidR="00000000" w:rsidRPr="002B26DC" w:rsidP="002B26DC">
            <w:pPr>
              <w:pStyle w:val="ListBullet"/>
            </w:pPr>
            <w:r w:rsidRPr="002B26DC">
              <w:t>organisational policies and procedures relating to the preparation of documents and evidence, and providing expert opinion</w:t>
            </w:r>
          </w:p>
          <w:p w:rsidR="00000000" w:rsidRPr="002B26DC" w:rsidP="002B26DC">
            <w:pPr>
              <w:pStyle w:val="ListBullet"/>
            </w:pPr>
            <w:r w:rsidRPr="002B26DC">
              <w:t>rules of evidence</w:t>
            </w:r>
          </w:p>
          <w:p w:rsidR="00000000" w:rsidRPr="002B26DC" w:rsidP="002B26DC">
            <w:pPr>
              <w:pStyle w:val="ListBullet"/>
            </w:pPr>
            <w:r w:rsidRPr="002B26DC">
              <w:t>requirements of a brief of evidence.</w:t>
            </w:r>
          </w:p>
        </w:tc>
      </w:tr>
    </w:tbl>
    <w:p w:rsidR="00000000" w:rsidRPr="002B26DC" w:rsidP="002B26DC">
      <w:pPr>
        <w:pStyle w:val="BodyText"/>
      </w:pPr>
    </w:p>
    <w:p w:rsidR="00000000" w:rsidRPr="002B26DC" w:rsidP="002B26DC">
      <w:pPr>
        <w:pStyle w:val="AllowPageBreak"/>
      </w:pPr>
    </w:p>
    <w:p w:rsidR="00000000" w:rsidRPr="002B26DC" w:rsidP="002B26DC">
      <w:pPr>
        <w:pStyle w:val="Heading1"/>
      </w:pPr>
      <w:bookmarkStart w:id="10" w:name="O_57324"/>
      <w:bookmarkEnd w:id="10"/>
      <w:r w:rsidRPr="002B26DC">
        <w:t>Evidence Guide</w:t>
      </w:r>
    </w:p>
    <w:tbl>
      <w:tblPr>
        <w:tblW w:w="9570" w:type="dxa"/>
        <w:tblLayout w:type="fixed"/>
        <w:tblCellMar>
          <w:left w:w="62" w:type="dxa"/>
          <w:right w:w="62" w:type="dxa"/>
        </w:tblCellMar>
        <w:tblLook w:val="0000"/>
      </w:tblPr>
      <w:tblGrid>
        <w:gridCol w:w="3908"/>
        <w:gridCol w:w="5662"/>
      </w:tblGrid>
      <w:tr w:rsidTr="0029063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26DC">
            <w:pPr>
              <w:pStyle w:val="BodyText"/>
              <w:rPr>
                <w:lang w:val="en-NZ"/>
              </w:rPr>
            </w:pPr>
            <w:r w:rsidRPr="002B26DC">
              <w:rPr>
                <w:rStyle w:val="SpecialBold"/>
              </w:rPr>
              <w:t>EVIDENCE GUIDE</w:t>
            </w:r>
          </w:p>
        </w:tc>
      </w:tr>
      <w:tr w:rsidTr="0029063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26DC">
            <w:pPr>
              <w:pStyle w:val="BodyText"/>
              <w:rPr>
                <w:lang w:val="en-NZ"/>
              </w:rPr>
            </w:pPr>
            <w:r w:rsidRPr="002B26DC">
              <w:t>The Evidence Guide provides advice on assessment and must be read in conjunction with the performance criteria, required skills and knowledge, range statement and the Assessment Guidelines for the Training Package.</w:t>
            </w:r>
          </w:p>
        </w:tc>
      </w:tr>
      <w:tr w:rsidTr="0029063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26DC">
            <w:pPr>
              <w:pStyle w:val="BodyText"/>
              <w:rPr>
                <w:lang w:val="en-NZ"/>
              </w:rPr>
            </w:pPr>
            <w:r w:rsidRPr="002B26DC">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26DC">
            <w:pPr>
              <w:pStyle w:val="BodyText"/>
              <w:rPr>
                <w:lang w:val="en-NZ"/>
              </w:rPr>
            </w:pPr>
          </w:p>
        </w:tc>
      </w:tr>
      <w:tr w:rsidTr="0029063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26DC">
            <w:pPr>
              <w:pStyle w:val="BodyText"/>
              <w:rPr>
                <w:lang w:val="en-NZ"/>
              </w:rPr>
            </w:pPr>
            <w:r w:rsidRPr="002B26DC">
              <w:rPr>
                <w:rStyle w:val="SpecialBold"/>
              </w:rPr>
              <w:t>Cri</w:t>
            </w:r>
            <w:r w:rsidRPr="002B26DC">
              <w:rPr>
                <w:rStyle w:val="SpecialBold"/>
              </w:rPr>
              <w:t>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26DC" w:rsidP="002B26DC">
            <w:pPr>
              <w:pStyle w:val="BodyText"/>
            </w:pPr>
            <w:r w:rsidRPr="002B26DC">
              <w:t>The evidence required to demonstrate competence in this unit must be relevant to workplace operations and satisfy all of the requirements of the performance criteria,</w:t>
            </w:r>
            <w:r w:rsidRPr="002B26DC">
              <w:t xml:space="preserve"> required skills and knowledge and the range statement of this unit. Assessors should ensure that candidates can:</w:t>
            </w:r>
          </w:p>
          <w:p w:rsidR="00000000" w:rsidRPr="002B26DC" w:rsidP="002B26DC">
            <w:pPr>
              <w:pStyle w:val="ListBullet"/>
            </w:pPr>
            <w:r w:rsidRPr="002B26DC">
              <w:t>conduct and record interviews and statements from interviewees, including witnesses, suspects, informants or complainants</w:t>
            </w:r>
          </w:p>
          <w:p w:rsidR="00000000" w:rsidRPr="002B26DC" w:rsidP="002B26DC">
            <w:pPr>
              <w:pStyle w:val="ListBullet"/>
            </w:pPr>
            <w:r w:rsidRPr="002B26DC">
              <w:t>communicate effecti</w:t>
            </w:r>
            <w:r w:rsidRPr="002B26DC">
              <w:t>vely with interviewees using active listening and questioning techniques</w:t>
            </w:r>
          </w:p>
          <w:p w:rsidR="00000000" w:rsidRPr="002B26DC" w:rsidP="002B26DC">
            <w:pPr>
              <w:pStyle w:val="ListBullet"/>
            </w:pPr>
            <w:r w:rsidRPr="002B26DC">
              <w:t>gather information on the case and identify admissible evidence</w:t>
            </w:r>
          </w:p>
          <w:p w:rsidR="00000000" w:rsidRPr="002B26DC" w:rsidP="002B26DC">
            <w:pPr>
              <w:pStyle w:val="ListBullet"/>
            </w:pPr>
            <w:r w:rsidRPr="002B26DC">
              <w:t>prepare an evidence brief</w:t>
            </w:r>
          </w:p>
          <w:p w:rsidR="00000000" w:rsidRPr="002B26DC" w:rsidP="002B26DC">
            <w:pPr>
              <w:pStyle w:val="ListBullet"/>
            </w:pPr>
            <w:r w:rsidRPr="002B26DC">
              <w:t>present evidence at proceedings</w:t>
            </w:r>
          </w:p>
          <w:p w:rsidR="00000000" w:rsidRPr="002B26DC" w:rsidP="002B26DC">
            <w:pPr>
              <w:pStyle w:val="ListBullet"/>
            </w:pPr>
            <w:r w:rsidRPr="002B26DC">
              <w:t>follow the rules of evidence and protocols relevant to the ca</w:t>
            </w:r>
            <w:r w:rsidRPr="002B26DC">
              <w:t>se</w:t>
            </w:r>
          </w:p>
          <w:p w:rsidR="00000000" w:rsidRPr="002B26DC" w:rsidP="002B26DC">
            <w:pPr>
              <w:pStyle w:val="ListBullet"/>
            </w:pPr>
            <w:r w:rsidRPr="002B26DC">
              <w:t>maintain accurate records in accordance with organisational policies and procedures.</w:t>
            </w:r>
          </w:p>
          <w:p w:rsidR="00000000" w:rsidRPr="002B26DC" w:rsidP="002B26DC">
            <w:pPr>
              <w:pStyle w:val="BodyText"/>
            </w:pPr>
          </w:p>
          <w:p w:rsidR="00000000" w:rsidP="002B26DC">
            <w:pPr>
              <w:pStyle w:val="BodyText"/>
              <w:rPr>
                <w:lang w:val="en-NZ"/>
              </w:rPr>
            </w:pPr>
            <w:r w:rsidRPr="002B26DC">
              <w:t>The skills and knowledge required to prepare and present animal control and regulation cases must be transferable to a range of work environments and contexts and incl</w:t>
            </w:r>
            <w:r w:rsidRPr="002B26DC">
              <w:t>ude the ability to deal with unplanned events.</w:t>
            </w:r>
          </w:p>
        </w:tc>
      </w:tr>
      <w:tr w:rsidTr="0029063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26DC">
            <w:pPr>
              <w:pStyle w:val="BodyText"/>
              <w:rPr>
                <w:lang w:val="en-NZ"/>
              </w:rPr>
            </w:pPr>
            <w:r w:rsidRPr="002B26DC">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26DC" w:rsidP="002B26DC">
            <w:pPr>
              <w:pStyle w:val="BodyText"/>
            </w:pPr>
            <w:r w:rsidRPr="002B26DC">
              <w:t>Assessment of this unit is to be practical in nature and will be most appropriately assessed in an animal control and regulation workplace or in a situation th</w:t>
            </w:r>
            <w:r w:rsidRPr="002B26DC">
              <w:t>at reproduces normal work conditions.</w:t>
            </w:r>
          </w:p>
          <w:p w:rsidR="00000000" w:rsidRPr="002B26DC" w:rsidP="002B26DC">
            <w:pPr>
              <w:pStyle w:val="BodyText"/>
            </w:pPr>
          </w:p>
          <w:p w:rsidR="00000000" w:rsidP="002B26DC">
            <w:pPr>
              <w:pStyle w:val="BodyText"/>
              <w:rPr>
                <w:lang w:val="en-NZ"/>
              </w:rPr>
            </w:pPr>
            <w:r w:rsidRPr="002B26DC">
              <w:t>There must be access to a relevant animal control and regulation case that requires preparation (e.g. taking statements and gathering evidence) and presentation (e.g. to a court or tribunal) and the appropriate equipment and/or resources to enable one to d</w:t>
            </w:r>
            <w:r w:rsidRPr="002B26DC">
              <w:t>emonstrate competence.</w:t>
            </w:r>
          </w:p>
        </w:tc>
      </w:tr>
      <w:tr w:rsidTr="0029063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26DC">
            <w:pPr>
              <w:pStyle w:val="BodyText"/>
              <w:rPr>
                <w:lang w:val="en-NZ"/>
              </w:rPr>
            </w:pPr>
            <w:r w:rsidRPr="002B26DC">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26DC" w:rsidP="002B26DC">
            <w:pPr>
              <w:pStyle w:val="BodyText"/>
            </w:pPr>
            <w:r w:rsidRPr="002B26DC">
              <w:t>To ensure consistency in one's performance, competency should be demonstrated, to industry defined standards, on more than one occasion over a period of time in order to cover a variety of circumstances, cases a</w:t>
            </w:r>
            <w:r w:rsidRPr="002B26DC">
              <w:t>nd responsibilities and over a number of assessment activities.</w:t>
            </w:r>
          </w:p>
          <w:p w:rsidR="00000000" w:rsidRPr="002B26DC" w:rsidP="002B26DC">
            <w:pPr>
              <w:pStyle w:val="BodyText"/>
            </w:pPr>
          </w:p>
          <w:p w:rsidR="00000000" w:rsidRPr="002B26DC" w:rsidP="002B26DC">
            <w:pPr>
              <w:pStyle w:val="BodyText"/>
            </w:pPr>
            <w:r w:rsidRPr="002B26DC">
              <w:t>The assessment strategy must include practical skills assessment. Suggested strategies for this unit are:</w:t>
            </w:r>
          </w:p>
          <w:p w:rsidR="00000000" w:rsidRPr="002B26DC" w:rsidP="002B26DC">
            <w:pPr>
              <w:pStyle w:val="ListBullet"/>
            </w:pPr>
            <w:r w:rsidRPr="002B26DC">
              <w:t>written and/or oral assessment of candidate's required knowledge</w:t>
            </w:r>
          </w:p>
          <w:p w:rsidR="00000000" w:rsidRPr="002B26DC" w:rsidP="002B26DC">
            <w:pPr>
              <w:pStyle w:val="ListBullet"/>
            </w:pPr>
            <w:r w:rsidRPr="002B26DC">
              <w:t>observed, documente</w:t>
            </w:r>
            <w:r w:rsidRPr="002B26DC">
              <w:t>d and first-hand testimonial evidence of candidate's application of practical tasks</w:t>
            </w:r>
          </w:p>
          <w:p w:rsidR="00000000" w:rsidRPr="002B26DC" w:rsidP="002B26DC">
            <w:pPr>
              <w:pStyle w:val="ListBullet"/>
            </w:pPr>
            <w:r w:rsidRPr="002B26DC">
              <w:t>simulation exercises that reproduce normal work conditions</w:t>
            </w:r>
          </w:p>
          <w:p w:rsidR="00000000" w:rsidRPr="002B26DC" w:rsidP="002B26DC">
            <w:pPr>
              <w:pStyle w:val="ListBullet"/>
            </w:pPr>
            <w:r w:rsidRPr="002B26DC">
              <w:t>case studies</w:t>
            </w:r>
          </w:p>
          <w:p w:rsidR="00000000" w:rsidRPr="002B26DC" w:rsidP="002B26DC">
            <w:pPr>
              <w:pStyle w:val="ListBullet"/>
            </w:pPr>
            <w:r w:rsidRPr="002B26DC">
              <w:t>third-party evidence</w:t>
            </w:r>
          </w:p>
          <w:p w:rsidR="00000000" w:rsidRPr="002B26DC" w:rsidP="002B26DC">
            <w:pPr>
              <w:pStyle w:val="ListBullet"/>
            </w:pPr>
            <w:r w:rsidRPr="002B26DC">
              <w:t>workplace documentation</w:t>
            </w:r>
          </w:p>
          <w:p w:rsidR="00000000" w:rsidRPr="002B26DC" w:rsidP="002B26DC">
            <w:pPr>
              <w:pStyle w:val="ListBullet"/>
            </w:pPr>
            <w:r w:rsidRPr="002B26DC">
              <w:t>portfolio.</w:t>
            </w:r>
          </w:p>
          <w:p w:rsidR="00000000" w:rsidRPr="002B26DC" w:rsidP="002B26DC">
            <w:pPr>
              <w:pStyle w:val="BodyText"/>
            </w:pPr>
          </w:p>
          <w:p w:rsidR="00000000" w:rsidP="002B26DC">
            <w:pPr>
              <w:pStyle w:val="BodyText"/>
              <w:rPr>
                <w:lang w:val="en-NZ"/>
              </w:rPr>
            </w:pPr>
            <w:r w:rsidRPr="002B26DC">
              <w:t>This unit may be assessed in a holistic way</w:t>
            </w:r>
            <w:r w:rsidRPr="002B26DC">
              <w:t xml:space="preserve"> with other units of competency relevant to the industry sector, workplace and job role.</w:t>
            </w:r>
          </w:p>
        </w:tc>
      </w:tr>
      <w:tr w:rsidTr="0029063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26DC">
            <w:pPr>
              <w:pStyle w:val="BodyText"/>
              <w:rPr>
                <w:lang w:val="en-NZ"/>
              </w:rPr>
            </w:pPr>
            <w:r w:rsidRPr="002B26DC">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26DC" w:rsidP="002B26DC">
            <w:pPr>
              <w:pStyle w:val="BodyText"/>
            </w:pPr>
            <w:r w:rsidRPr="002B26DC">
              <w:t xml:space="preserve">Assessment methods should reflect workplace demands (e.g. literacy and numeracy demands) and the needs of particular target groups (e.g. people with disabilities, Aboriginal and Torres Strait Islander people, women, people with a language background other </w:t>
            </w:r>
            <w:r w:rsidRPr="002B26DC">
              <w:t>than English, youth and people from low socioeconomic backgrounds).</w:t>
            </w:r>
          </w:p>
        </w:tc>
      </w:tr>
    </w:tbl>
    <w:p w:rsidR="00000000" w:rsidRPr="002B26DC" w:rsidP="002B26DC">
      <w:pPr>
        <w:pStyle w:val="BodyText"/>
      </w:pPr>
    </w:p>
    <w:p w:rsidR="00000000" w:rsidRPr="002B26DC" w:rsidP="002B26DC">
      <w:pPr>
        <w:pStyle w:val="AllowPageBreak"/>
      </w:pPr>
    </w:p>
    <w:p w:rsidR="00000000" w:rsidRPr="002B26DC" w:rsidP="002B26DC">
      <w:pPr>
        <w:pStyle w:val="Heading1"/>
      </w:pPr>
      <w:bookmarkStart w:id="11" w:name="O_57325"/>
      <w:bookmarkEnd w:id="11"/>
      <w:r w:rsidRPr="002B26DC">
        <w:t>Range Statement</w:t>
      </w:r>
    </w:p>
    <w:tbl>
      <w:tblPr>
        <w:tblW w:w="0" w:type="auto"/>
        <w:tblLayout w:type="fixed"/>
        <w:tblCellMar>
          <w:left w:w="62" w:type="dxa"/>
          <w:right w:w="62" w:type="dxa"/>
        </w:tblCellMar>
        <w:tblLook w:val="0000"/>
      </w:tblPr>
      <w:tblGrid>
        <w:gridCol w:w="3451"/>
        <w:gridCol w:w="5071"/>
      </w:tblGrid>
      <w:tr w:rsidTr="0029063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26DC">
            <w:pPr>
              <w:pStyle w:val="BodyText"/>
              <w:rPr>
                <w:lang w:val="en-NZ"/>
              </w:rPr>
            </w:pPr>
            <w:r w:rsidRPr="002B26DC">
              <w:rPr>
                <w:rStyle w:val="SpecialBold"/>
              </w:rPr>
              <w:t>RANGE STATEMENT</w:t>
            </w:r>
          </w:p>
        </w:tc>
      </w:tr>
      <w:tr w:rsidTr="0029063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26DC">
            <w:pPr>
              <w:pStyle w:val="BodyText"/>
              <w:rPr>
                <w:lang w:val="en-NZ"/>
              </w:rPr>
            </w:pPr>
            <w:r w:rsidRPr="002B26DC">
              <w:t>The range statement relates to the unit of competency as a whole. It allows for different work environments and situations that may affec</w:t>
            </w:r>
            <w:r w:rsidRPr="002B26DC">
              <w:t>t performance. Bold italicised wording, if used in the performance criteria, is detailed below. Essential operating conditions that may be present with training and assessment (depending on the work situation, needs of the candidate, accessibility of the i</w:t>
            </w:r>
            <w:r w:rsidRPr="002B26DC">
              <w:t>tem, and local industry and regional contexts) may also be included.</w:t>
            </w:r>
          </w:p>
        </w:tc>
      </w:tr>
      <w:tr w:rsidTr="0029063F">
        <w:tblPrEx>
          <w:tblW w:w="0" w:type="auto"/>
          <w:tblLayout w:type="fixed"/>
          <w:tblCellMar>
            <w:left w:w="62" w:type="dxa"/>
            <w:right w:w="62" w:type="dxa"/>
          </w:tblCellMar>
          <w:tblLook w:val="0000"/>
        </w:tblPrEx>
        <w:tc>
          <w:tcPr>
            <w:tcW w:w="34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26DC">
            <w:pPr>
              <w:pStyle w:val="BodyText"/>
              <w:rPr>
                <w:lang w:val="en-NZ"/>
              </w:rPr>
            </w:pPr>
            <w:r w:rsidRPr="002B26DC">
              <w:rPr>
                <w:rStyle w:val="BoldandItalics"/>
              </w:rPr>
              <w:t>Purpose of interview</w:t>
            </w:r>
            <w:r w:rsidRPr="002B26DC">
              <w:t xml:space="preserve"> may include:</w:t>
            </w:r>
          </w:p>
        </w:tc>
        <w:tc>
          <w:tcPr>
            <w:tcW w:w="50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26DC" w:rsidP="002B26DC">
            <w:pPr>
              <w:pStyle w:val="ListBullet"/>
            </w:pPr>
            <w:r w:rsidRPr="002B26DC">
              <w:t>to ascertain facts surrounding an incident and gather evidence</w:t>
            </w:r>
          </w:p>
          <w:p w:rsidR="00000000" w:rsidRPr="002B26DC" w:rsidP="002B26DC">
            <w:pPr>
              <w:pStyle w:val="ListBullet"/>
            </w:pPr>
            <w:r w:rsidRPr="002B26DC">
              <w:t>to determine the appropriate action required to ensure public safety</w:t>
            </w:r>
          </w:p>
          <w:p w:rsidR="00000000" w:rsidP="002B26DC">
            <w:pPr>
              <w:pStyle w:val="ListBullet"/>
              <w:rPr>
                <w:lang w:val="en-NZ"/>
              </w:rPr>
            </w:pPr>
            <w:r w:rsidRPr="002B26DC">
              <w:t>to ensure compliance with legislative requirements.</w:t>
            </w:r>
          </w:p>
        </w:tc>
      </w:tr>
      <w:tr w:rsidTr="0029063F">
        <w:tblPrEx>
          <w:tblW w:w="0" w:type="auto"/>
          <w:tblLayout w:type="fixed"/>
          <w:tblCellMar>
            <w:left w:w="62" w:type="dxa"/>
            <w:right w:w="62" w:type="dxa"/>
          </w:tblCellMar>
          <w:tblLook w:val="0000"/>
        </w:tblPrEx>
        <w:tc>
          <w:tcPr>
            <w:tcW w:w="34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26DC">
            <w:pPr>
              <w:pStyle w:val="BodyText"/>
              <w:rPr>
                <w:lang w:val="en-NZ"/>
              </w:rPr>
            </w:pPr>
            <w:r w:rsidRPr="002B26DC">
              <w:rPr>
                <w:rStyle w:val="BoldandItalics"/>
              </w:rPr>
              <w:t>Equipment</w:t>
            </w:r>
            <w:r w:rsidRPr="002B26DC">
              <w:t xml:space="preserve"> and </w:t>
            </w:r>
            <w:r w:rsidRPr="002B26DC">
              <w:rPr>
                <w:rStyle w:val="BoldandItalics"/>
              </w:rPr>
              <w:t>personnel</w:t>
            </w:r>
            <w:r w:rsidRPr="002B26DC">
              <w:t xml:space="preserve"> that may be used to conduct an interview may include:</w:t>
            </w:r>
          </w:p>
        </w:tc>
        <w:tc>
          <w:tcPr>
            <w:tcW w:w="50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26DC" w:rsidP="002B26DC">
            <w:pPr>
              <w:pStyle w:val="ListBullet"/>
            </w:pPr>
            <w:r w:rsidRPr="002B26DC">
              <w:t xml:space="preserve">equipment: </w:t>
            </w:r>
          </w:p>
          <w:p w:rsidR="00000000" w:rsidRPr="002B26DC" w:rsidP="002B26DC">
            <w:pPr>
              <w:pStyle w:val="ListBullet2"/>
            </w:pPr>
            <w:r w:rsidRPr="002B26DC">
              <w:t>computers</w:t>
            </w:r>
          </w:p>
          <w:p w:rsidR="00000000" w:rsidRPr="002B26DC" w:rsidP="002B26DC">
            <w:pPr>
              <w:pStyle w:val="ListBullet2"/>
            </w:pPr>
            <w:r w:rsidRPr="002B26DC">
              <w:t>computer notebooks</w:t>
            </w:r>
          </w:p>
          <w:p w:rsidR="00000000" w:rsidRPr="002B26DC" w:rsidP="002B26DC">
            <w:pPr>
              <w:pStyle w:val="ListBullet2"/>
            </w:pPr>
            <w:r w:rsidRPr="002B26DC">
              <w:t>recording medium (e.g. audiotapes and videotapes)</w:t>
            </w:r>
          </w:p>
          <w:p w:rsidR="00000000" w:rsidRPr="002B26DC" w:rsidP="002B26DC">
            <w:pPr>
              <w:pStyle w:val="ListBullet"/>
            </w:pPr>
            <w:r w:rsidRPr="002B26DC">
              <w:t>personnel:</w:t>
            </w:r>
          </w:p>
          <w:p w:rsidR="00000000" w:rsidRPr="002B26DC" w:rsidP="002B26DC">
            <w:pPr>
              <w:pStyle w:val="ListBullet2"/>
            </w:pPr>
            <w:r w:rsidRPr="002B26DC">
              <w:t>interpreters</w:t>
            </w:r>
          </w:p>
          <w:p w:rsidR="00000000" w:rsidRPr="002B26DC" w:rsidP="002B26DC">
            <w:pPr>
              <w:pStyle w:val="ListBullet2"/>
            </w:pPr>
            <w:r w:rsidRPr="002B26DC">
              <w:t>police officers to gain entry and serve warrants</w:t>
            </w:r>
          </w:p>
          <w:p w:rsidR="00000000" w:rsidRPr="002B26DC" w:rsidP="002B26DC">
            <w:pPr>
              <w:pStyle w:val="ListBullet2"/>
            </w:pPr>
            <w:r w:rsidRPr="002B26DC">
              <w:t>corroborating officers</w:t>
            </w:r>
          </w:p>
          <w:p w:rsidR="00000000" w:rsidP="002B26DC">
            <w:pPr>
              <w:pStyle w:val="ListBullet2"/>
              <w:rPr>
                <w:lang w:val="en-NZ"/>
              </w:rPr>
            </w:pPr>
            <w:r w:rsidRPr="002B26DC">
              <w:t>guardians and parents if minors are involved.</w:t>
            </w:r>
          </w:p>
        </w:tc>
      </w:tr>
      <w:tr w:rsidTr="0029063F">
        <w:tblPrEx>
          <w:tblW w:w="0" w:type="auto"/>
          <w:tblLayout w:type="fixed"/>
          <w:tblCellMar>
            <w:left w:w="62" w:type="dxa"/>
            <w:right w:w="62" w:type="dxa"/>
          </w:tblCellMar>
          <w:tblLook w:val="0000"/>
        </w:tblPrEx>
        <w:tc>
          <w:tcPr>
            <w:tcW w:w="34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26DC">
            <w:pPr>
              <w:pStyle w:val="BodyText"/>
              <w:rPr>
                <w:lang w:val="en-NZ"/>
              </w:rPr>
            </w:pPr>
            <w:r w:rsidRPr="002B26DC">
              <w:rPr>
                <w:rStyle w:val="BoldandItalics"/>
              </w:rPr>
              <w:t>Interviewees</w:t>
            </w:r>
            <w:r w:rsidRPr="002B26DC">
              <w:t xml:space="preserve"> may include:</w:t>
            </w:r>
          </w:p>
        </w:tc>
        <w:tc>
          <w:tcPr>
            <w:tcW w:w="50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26DC" w:rsidP="002B26DC">
            <w:pPr>
              <w:pStyle w:val="ListBullet"/>
            </w:pPr>
            <w:r w:rsidRPr="002B26DC">
              <w:t>complainants</w:t>
            </w:r>
          </w:p>
          <w:p w:rsidR="00000000" w:rsidRPr="002B26DC" w:rsidP="002B26DC">
            <w:pPr>
              <w:pStyle w:val="ListBullet"/>
            </w:pPr>
            <w:r w:rsidRPr="002B26DC">
              <w:t>informants</w:t>
            </w:r>
          </w:p>
          <w:p w:rsidR="00000000" w:rsidRPr="002B26DC" w:rsidP="002B26DC">
            <w:pPr>
              <w:pStyle w:val="ListBullet"/>
            </w:pPr>
            <w:r w:rsidRPr="002B26DC">
              <w:t>suspects</w:t>
            </w:r>
          </w:p>
          <w:p w:rsidR="00000000" w:rsidP="002B26DC">
            <w:pPr>
              <w:pStyle w:val="ListBullet"/>
              <w:rPr>
                <w:lang w:val="en-NZ"/>
              </w:rPr>
            </w:pPr>
            <w:r w:rsidRPr="002B26DC">
              <w:t>witnesses.</w:t>
            </w:r>
          </w:p>
        </w:tc>
      </w:tr>
      <w:tr w:rsidTr="0029063F">
        <w:tblPrEx>
          <w:tblW w:w="0" w:type="auto"/>
          <w:tblLayout w:type="fixed"/>
          <w:tblCellMar>
            <w:left w:w="62" w:type="dxa"/>
            <w:right w:w="62" w:type="dxa"/>
          </w:tblCellMar>
          <w:tblLook w:val="0000"/>
        </w:tblPrEx>
        <w:tc>
          <w:tcPr>
            <w:tcW w:w="34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26DC">
            <w:pPr>
              <w:pStyle w:val="BodyText"/>
              <w:rPr>
                <w:lang w:val="en-NZ"/>
              </w:rPr>
            </w:pPr>
            <w:r w:rsidRPr="002B26DC">
              <w:rPr>
                <w:rStyle w:val="BoldandItalics"/>
              </w:rPr>
              <w:t>Admissible evidence</w:t>
            </w:r>
            <w:r w:rsidRPr="002B26DC">
              <w:t xml:space="preserve"> may include:</w:t>
            </w:r>
          </w:p>
        </w:tc>
        <w:tc>
          <w:tcPr>
            <w:tcW w:w="50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26DC" w:rsidP="002B26DC">
            <w:pPr>
              <w:pStyle w:val="ListBullet"/>
            </w:pPr>
            <w:r w:rsidRPr="002B26DC">
              <w:t>direct evidence:</w:t>
            </w:r>
          </w:p>
          <w:p w:rsidR="00000000" w:rsidRPr="002B26DC" w:rsidP="002B26DC">
            <w:pPr>
              <w:pStyle w:val="ListBullet2"/>
            </w:pPr>
            <w:r w:rsidRPr="002B26DC">
              <w:t>evidence and statements from those present at the time who may have heard, seen, smelt, tasted or felt something in relation to the incident and may include things that were in place at the time (e.g. gates and fences)</w:t>
            </w:r>
          </w:p>
          <w:p w:rsidR="00000000" w:rsidRPr="002B26DC" w:rsidP="002B26DC">
            <w:pPr>
              <w:pStyle w:val="ListBullet"/>
            </w:pPr>
            <w:r w:rsidRPr="002B26DC">
              <w:t>circumstantial evidence:</w:t>
            </w:r>
          </w:p>
          <w:p w:rsidR="00000000" w:rsidP="002B26DC">
            <w:pPr>
              <w:pStyle w:val="ListBullet2"/>
              <w:rPr>
                <w:lang w:val="en-NZ"/>
              </w:rPr>
            </w:pPr>
            <w:r w:rsidRPr="002B26DC">
              <w:t>what was thought to have existed at the time but may no longer be there and cannot be backed up by direct evidence.</w:t>
            </w:r>
          </w:p>
        </w:tc>
      </w:tr>
      <w:tr w:rsidTr="0029063F">
        <w:tblPrEx>
          <w:tblW w:w="0" w:type="auto"/>
          <w:tblLayout w:type="fixed"/>
          <w:tblCellMar>
            <w:left w:w="62" w:type="dxa"/>
            <w:right w:w="62" w:type="dxa"/>
          </w:tblCellMar>
          <w:tblLook w:val="0000"/>
        </w:tblPrEx>
        <w:tc>
          <w:tcPr>
            <w:tcW w:w="34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26DC">
            <w:pPr>
              <w:pStyle w:val="BodyText"/>
              <w:rPr>
                <w:lang w:val="en-NZ"/>
              </w:rPr>
            </w:pPr>
            <w:r w:rsidRPr="002B26DC">
              <w:t xml:space="preserve">Coordinating </w:t>
            </w:r>
            <w:r w:rsidRPr="002B26DC">
              <w:rPr>
                <w:rStyle w:val="BoldandItalics"/>
              </w:rPr>
              <w:t>witnesses</w:t>
            </w:r>
            <w:r w:rsidRPr="002B26DC">
              <w:t xml:space="preserve"> may include:</w:t>
            </w:r>
          </w:p>
        </w:tc>
        <w:tc>
          <w:tcPr>
            <w:tcW w:w="50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26DC">
            <w:pPr>
              <w:pStyle w:val="ListBullet"/>
              <w:rPr>
                <w:lang w:val="en-NZ"/>
              </w:rPr>
            </w:pPr>
            <w:r w:rsidRPr="002B26DC">
              <w:t>issuing witness summonses and maintaining contact with witnesses to ensure their cooperation, communic</w:t>
            </w:r>
            <w:r w:rsidRPr="002B26DC">
              <w:t>ation and attendance at court/tribunal.</w:t>
            </w:r>
          </w:p>
        </w:tc>
      </w:tr>
      <w:tr w:rsidTr="0029063F">
        <w:tblPrEx>
          <w:tblW w:w="0" w:type="auto"/>
          <w:tblLayout w:type="fixed"/>
          <w:tblCellMar>
            <w:left w:w="62" w:type="dxa"/>
            <w:right w:w="62" w:type="dxa"/>
          </w:tblCellMar>
          <w:tblLook w:val="0000"/>
        </w:tblPrEx>
        <w:tc>
          <w:tcPr>
            <w:tcW w:w="34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26DC">
            <w:pPr>
              <w:pStyle w:val="BodyText"/>
              <w:rPr>
                <w:lang w:val="en-NZ"/>
              </w:rPr>
            </w:pPr>
            <w:r w:rsidRPr="002B26DC">
              <w:rPr>
                <w:rStyle w:val="BoldandItalics"/>
              </w:rPr>
              <w:t>Information</w:t>
            </w:r>
            <w:r w:rsidRPr="002B26DC">
              <w:t xml:space="preserve"> for brief of evidence may include:</w:t>
            </w:r>
          </w:p>
        </w:tc>
        <w:tc>
          <w:tcPr>
            <w:tcW w:w="50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26DC" w:rsidP="002B26DC">
            <w:pPr>
              <w:pStyle w:val="ListBullet"/>
            </w:pPr>
            <w:r w:rsidRPr="002B26DC">
              <w:t>admissible evidence and other evidence</w:t>
            </w:r>
          </w:p>
          <w:p w:rsidR="00000000" w:rsidRPr="002B26DC" w:rsidP="002B26DC">
            <w:pPr>
              <w:pStyle w:val="ListBullet"/>
            </w:pPr>
            <w:r w:rsidRPr="002B26DC">
              <w:t>precedents</w:t>
            </w:r>
          </w:p>
          <w:p w:rsidR="00000000" w:rsidRPr="002B26DC" w:rsidP="002B26DC">
            <w:pPr>
              <w:pStyle w:val="ListBullet"/>
            </w:pPr>
            <w:r w:rsidRPr="002B26DC">
              <w:t>records of interview</w:t>
            </w:r>
          </w:p>
          <w:p w:rsidR="00000000" w:rsidRPr="002B26DC" w:rsidP="002B26DC">
            <w:pPr>
              <w:pStyle w:val="ListBullet"/>
            </w:pPr>
            <w:r w:rsidRPr="002B26DC">
              <w:t>relevant sections of legislation</w:t>
            </w:r>
          </w:p>
          <w:p w:rsidR="00000000" w:rsidRPr="002B26DC" w:rsidP="002B26DC">
            <w:pPr>
              <w:pStyle w:val="ListBullet"/>
            </w:pPr>
            <w:r w:rsidRPr="002B26DC">
              <w:t>witness statements.</w:t>
            </w:r>
          </w:p>
        </w:tc>
      </w:tr>
    </w:tbl>
    <w:p w:rsidR="0029063F" w:rsidP="002B26DC">
      <w:pPr>
        <w:pStyle w:val="BodyText"/>
      </w:pPr>
    </w:p>
    <w:p w:rsidR="0029063F" w:rsidP="002B26DC">
      <w:pPr>
        <w:pStyle w:val="BodyText"/>
      </w:pPr>
    </w:p>
    <w:p w:rsidR="00000000" w:rsidRPr="002B26DC" w:rsidP="002B26DC">
      <w:pPr>
        <w:pStyle w:val="Heading1"/>
      </w:pPr>
      <w:bookmarkStart w:id="12" w:name="O_57326"/>
      <w:bookmarkEnd w:id="12"/>
      <w:r w:rsidRPr="002B26DC">
        <w:t>Unit Sector(s)</w:t>
      </w:r>
    </w:p>
    <w:tbl>
      <w:tblPr>
        <w:tblW w:w="0" w:type="auto"/>
        <w:tblLayout w:type="fixed"/>
        <w:tblCellMar>
          <w:left w:w="62" w:type="dxa"/>
          <w:right w:w="62" w:type="dxa"/>
        </w:tblCellMar>
        <w:tblLook w:val="0000"/>
      </w:tblPr>
      <w:tblGrid>
        <w:gridCol w:w="2621"/>
        <w:gridCol w:w="5901"/>
      </w:tblGrid>
      <w:tr w:rsidTr="0029063F">
        <w:tblPrEx>
          <w:tblW w:w="0" w:type="auto"/>
          <w:tblLayout w:type="fixed"/>
          <w:tblCellMar>
            <w:left w:w="62" w:type="dxa"/>
            <w:right w:w="62" w:type="dxa"/>
          </w:tblCellMar>
          <w:tblLook w:val="0000"/>
        </w:tblPrEx>
        <w:trPr>
          <w:tblHeader/>
        </w:trPr>
        <w:tc>
          <w:tcPr>
            <w:tcW w:w="2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26DC">
            <w:pPr>
              <w:pStyle w:val="BodyText"/>
              <w:rPr>
                <w:lang w:val="en-NZ"/>
              </w:rPr>
            </w:pPr>
            <w:r w:rsidRPr="002B26DC">
              <w:rPr>
                <w:rStyle w:val="SpecialBold"/>
              </w:rPr>
              <w:t>Unit sector</w:t>
            </w:r>
          </w:p>
        </w:tc>
        <w:tc>
          <w:tcPr>
            <w:tcW w:w="5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26DC" w:rsidP="002B26DC">
            <w:pPr>
              <w:pStyle w:val="BodyText"/>
            </w:pPr>
            <w:r w:rsidRPr="002B26DC">
              <w:t>Animal control and regulation</w:t>
            </w:r>
          </w:p>
        </w:tc>
      </w:tr>
    </w:tbl>
    <w:p w:rsidR="00000000" w:rsidRPr="002B26DC" w:rsidP="002B26DC">
      <w:pPr>
        <w:pStyle w:val="BodyText"/>
      </w:pPr>
    </w:p>
    <w:p w:rsidR="00000000" w:rsidRPr="002B26DC" w:rsidP="002B26DC">
      <w:pPr>
        <w:pStyle w:val="AllowPageBreak"/>
      </w:pPr>
    </w:p>
    <w:p w:rsidR="00000000" w:rsidRPr="002B26DC" w:rsidP="002B26DC">
      <w:pPr>
        <w:pStyle w:val="Heading1"/>
      </w:pPr>
      <w:bookmarkStart w:id="13" w:name="O_152996"/>
      <w:bookmarkEnd w:id="13"/>
      <w:r w:rsidRPr="002B26DC">
        <w:t>Competency field</w:t>
      </w:r>
    </w:p>
    <w:tbl>
      <w:tblPr>
        <w:tblW w:w="0" w:type="auto"/>
        <w:tblLayout w:type="fixed"/>
        <w:tblCellMar>
          <w:left w:w="62" w:type="dxa"/>
          <w:right w:w="62" w:type="dxa"/>
        </w:tblCellMar>
        <w:tblLook w:val="0000"/>
      </w:tblPr>
      <w:tblGrid>
        <w:gridCol w:w="2784"/>
        <w:gridCol w:w="5738"/>
      </w:tblGrid>
      <w:tr w:rsidTr="0029063F">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26DC">
            <w:pPr>
              <w:pStyle w:val="BodyText"/>
              <w:rPr>
                <w:lang w:val="en-NZ"/>
              </w:rPr>
            </w:pPr>
            <w:r w:rsidRPr="002B26DC">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26DC" w:rsidP="002B26DC">
            <w:pPr>
              <w:pStyle w:val="BodyText"/>
            </w:pPr>
          </w:p>
        </w:tc>
      </w:tr>
    </w:tbl>
    <w:p w:rsidR="00000000" w:rsidRPr="002B26DC" w:rsidP="002B26DC">
      <w:pPr>
        <w:pStyle w:val="BodyText"/>
      </w:pPr>
    </w:p>
    <w:p w:rsidR="00000000" w:rsidRPr="002B26DC" w:rsidP="002B26DC">
      <w:pPr>
        <w:pStyle w:val="AllowPageBreak"/>
      </w:pPr>
    </w:p>
    <w:p w:rsidR="00000000" w:rsidRPr="002B26DC" w:rsidP="002B26DC">
      <w:pPr>
        <w:pStyle w:val="Heading1"/>
      </w:pPr>
      <w:bookmarkStart w:id="14" w:name="O_152995"/>
      <w:bookmarkEnd w:id="14"/>
      <w:r w:rsidRPr="002B26DC">
        <w:t>Co-requisite units</w:t>
      </w:r>
    </w:p>
    <w:tbl>
      <w:tblPr>
        <w:tblW w:w="0" w:type="auto"/>
        <w:tblLayout w:type="fixed"/>
        <w:tblCellMar>
          <w:left w:w="62" w:type="dxa"/>
          <w:right w:w="62" w:type="dxa"/>
        </w:tblCellMar>
        <w:tblLook w:val="0000"/>
      </w:tblPr>
      <w:tblGrid>
        <w:gridCol w:w="2641"/>
        <w:gridCol w:w="1322"/>
        <w:gridCol w:w="4559"/>
      </w:tblGrid>
      <w:tr w:rsidTr="0029063F">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26DC">
            <w:pPr>
              <w:pStyle w:val="BodyText"/>
              <w:rPr>
                <w:lang w:val="en-NZ"/>
              </w:rPr>
            </w:pPr>
            <w:r w:rsidRPr="002B26DC">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26DC">
            <w:pPr>
              <w:pStyle w:val="BodyText"/>
              <w:rPr>
                <w:lang w:val="en-NZ"/>
              </w:rPr>
            </w:pPr>
          </w:p>
        </w:tc>
      </w:tr>
      <w:tr w:rsidTr="0029063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26DC">
            <w:pPr>
              <w:pStyle w:val="BodyText"/>
              <w:rPr>
                <w:lang w:val="en-NZ"/>
              </w:rPr>
            </w:pPr>
          </w:p>
        </w:tc>
      </w:tr>
      <w:tr w:rsidTr="0029063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26DC" w:rsidP="002B26DC">
            <w:pPr>
              <w:pStyle w:val="BodyText"/>
            </w:pPr>
          </w:p>
        </w:tc>
      </w:tr>
    </w:tbl>
    <w:p w:rsidR="00000000" w:rsidRPr="002B26DC" w:rsidP="002B26DC">
      <w:pPr>
        <w:pStyle w:val="BodyText"/>
      </w:pPr>
    </w:p>
    <w:p w:rsidR="00000000" w:rsidRPr="002B26DC" w:rsidP="002B26DC"/>
    <w:sectPr w:rsidSect="002B26D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26D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9063F" w:rsidP="0029063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26D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063F" w:rsidP="002B26D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29063F" w:rsidP="002B26D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29063F" w:rsidP="002B26D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26D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9063F" w:rsidP="0029063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26D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063F" w:rsidP="002B26DC">
    <w:pPr>
      <w:pStyle w:val="Header"/>
      <w:framePr w:wrap="around"/>
    </w:pPr>
    <w:r>
      <w:fldChar w:fldCharType="begin"/>
    </w:r>
    <w:r>
      <w:instrText xml:space="preserve"> TITLE   \* MERGEFORMAT </w:instrText>
    </w:r>
    <w:r>
      <w:fldChar w:fldCharType="separate"/>
    </w:r>
    <w:r>
      <w:t>ACMACR409A Prepare and present animal control and regulation case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9063F" w:rsidP="002B26D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CEC0EF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5067D8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0EA7E5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26D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B26DC"/>
    <w:pPr>
      <w:spacing w:before="360" w:after="60"/>
      <w:outlineLvl w:val="0"/>
    </w:pPr>
    <w:rPr>
      <w:sz w:val="32"/>
    </w:rPr>
  </w:style>
  <w:style w:type="paragraph" w:styleId="Heading2">
    <w:name w:val="heading 2"/>
    <w:basedOn w:val="HeadingBase"/>
    <w:next w:val="BodyText"/>
    <w:link w:val="Heading2Char"/>
    <w:qFormat/>
    <w:rsid w:val="002B26DC"/>
    <w:pPr>
      <w:keepLines/>
      <w:spacing w:before="240" w:after="120"/>
      <w:outlineLvl w:val="1"/>
    </w:pPr>
    <w:rPr>
      <w:sz w:val="28"/>
      <w:szCs w:val="40"/>
    </w:rPr>
  </w:style>
  <w:style w:type="paragraph" w:styleId="Heading3">
    <w:name w:val="heading 3"/>
    <w:basedOn w:val="HeadingBase"/>
    <w:next w:val="BodyText"/>
    <w:link w:val="Heading3Char"/>
    <w:qFormat/>
    <w:rsid w:val="002B26DC"/>
    <w:pPr>
      <w:spacing w:before="180" w:after="120"/>
      <w:outlineLvl w:val="2"/>
    </w:pPr>
    <w:rPr>
      <w:spacing w:val="-10"/>
      <w:kern w:val="32"/>
    </w:rPr>
  </w:style>
  <w:style w:type="paragraph" w:styleId="Heading4">
    <w:name w:val="heading 4"/>
    <w:basedOn w:val="HeadingBase"/>
    <w:next w:val="BodyText"/>
    <w:link w:val="Heading4Char"/>
    <w:qFormat/>
    <w:rsid w:val="002B26DC"/>
    <w:pPr>
      <w:spacing w:before="160" w:after="120"/>
      <w:outlineLvl w:val="3"/>
    </w:pPr>
    <w:rPr>
      <w:sz w:val="22"/>
    </w:rPr>
  </w:style>
  <w:style w:type="paragraph" w:styleId="Heading5">
    <w:name w:val="heading 5"/>
    <w:basedOn w:val="HeadingBase"/>
    <w:next w:val="Normal"/>
    <w:link w:val="Heading5Char"/>
    <w:qFormat/>
    <w:rsid w:val="002B26DC"/>
    <w:pPr>
      <w:spacing w:before="80"/>
      <w:outlineLvl w:val="4"/>
    </w:pPr>
    <w:rPr>
      <w:color w:val="918585"/>
      <w:sz w:val="20"/>
    </w:rPr>
  </w:style>
  <w:style w:type="paragraph" w:styleId="Heading6">
    <w:name w:val="heading 6"/>
    <w:basedOn w:val="HeadingBase"/>
    <w:next w:val="Normal"/>
    <w:link w:val="Heading6Char"/>
    <w:qFormat/>
    <w:rsid w:val="002B26DC"/>
    <w:pPr>
      <w:spacing w:before="60"/>
      <w:outlineLvl w:val="5"/>
    </w:pPr>
    <w:rPr>
      <w:color w:val="918585"/>
      <w:sz w:val="20"/>
    </w:rPr>
  </w:style>
  <w:style w:type="paragraph" w:styleId="Heading7">
    <w:name w:val="heading 7"/>
    <w:basedOn w:val="Normal"/>
    <w:next w:val="Normal"/>
    <w:link w:val="Heading7Char"/>
    <w:qFormat/>
    <w:rsid w:val="002B26DC"/>
    <w:pPr>
      <w:ind w:left="720"/>
      <w:outlineLvl w:val="6"/>
    </w:pPr>
    <w:rPr>
      <w:i/>
    </w:rPr>
  </w:style>
  <w:style w:type="paragraph" w:styleId="Heading8">
    <w:name w:val="heading 8"/>
    <w:basedOn w:val="Normal"/>
    <w:next w:val="Normal"/>
    <w:link w:val="Heading8Char"/>
    <w:qFormat/>
    <w:rsid w:val="002B26DC"/>
    <w:pPr>
      <w:ind w:left="720"/>
      <w:outlineLvl w:val="7"/>
    </w:pPr>
    <w:rPr>
      <w:i/>
    </w:rPr>
  </w:style>
  <w:style w:type="paragraph" w:styleId="Heading9">
    <w:name w:val="heading 9"/>
    <w:basedOn w:val="Normal"/>
    <w:next w:val="Normal"/>
    <w:link w:val="Heading9Char"/>
    <w:qFormat/>
    <w:rsid w:val="002B26DC"/>
    <w:pPr>
      <w:ind w:left="720"/>
      <w:outlineLvl w:val="8"/>
    </w:pPr>
    <w:rPr>
      <w:i/>
    </w:rPr>
  </w:style>
  <w:style w:type="character" w:default="1" w:styleId="DefaultParagraphFont">
    <w:name w:val="Default Paragraph Font"/>
    <w:uiPriority w:val="1"/>
    <w:unhideWhenUsed/>
    <w:rsid w:val="002B26D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B26DC"/>
  </w:style>
  <w:style w:type="character" w:customStyle="1" w:styleId="Heading1Char">
    <w:name w:val="Heading 1 Char"/>
    <w:basedOn w:val="DefaultParagraphFont"/>
    <w:link w:val="Heading1"/>
    <w:rsid w:val="002B26DC"/>
    <w:rPr>
      <w:rFonts w:ascii="Times New Roman" w:eastAsia="Times New Roman" w:hAnsi="Times New Roman" w:cs="Times New Roman"/>
      <w:b/>
      <w:sz w:val="32"/>
      <w:szCs w:val="20"/>
      <w:lang w:eastAsia="en-US"/>
    </w:rPr>
  </w:style>
  <w:style w:type="paragraph" w:styleId="BodyText">
    <w:name w:val="Body Text"/>
    <w:basedOn w:val="Normal"/>
    <w:link w:val="BodyTextChar"/>
    <w:rsid w:val="002B26D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B26DC"/>
    <w:rPr>
      <w:rFonts w:ascii="Times New Roman" w:eastAsia="Times New Roman" w:hAnsi="Times New Roman" w:cs="Times New Roman"/>
      <w:sz w:val="24"/>
      <w:lang w:val="en-US" w:eastAsia="en-US"/>
    </w:rPr>
  </w:style>
  <w:style w:type="paragraph" w:styleId="Footer">
    <w:name w:val="footer"/>
    <w:basedOn w:val="Normal"/>
    <w:link w:val="FooterChar"/>
    <w:rsid w:val="002B26D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B26DC"/>
    <w:rPr>
      <w:rFonts w:ascii="Times New Roman" w:eastAsia="Times New Roman" w:hAnsi="Times New Roman" w:cs="Times New Roman"/>
      <w:sz w:val="16"/>
      <w:lang w:val="en-US" w:eastAsia="en-US"/>
    </w:rPr>
  </w:style>
  <w:style w:type="paragraph" w:styleId="List">
    <w:name w:val="List"/>
    <w:basedOn w:val="BodyText"/>
    <w:next w:val="BodyText"/>
    <w:rsid w:val="002B26DC"/>
    <w:pPr>
      <w:tabs>
        <w:tab w:val="left" w:pos="340"/>
      </w:tabs>
      <w:spacing w:before="60" w:after="60"/>
      <w:ind w:left="340" w:hanging="340"/>
    </w:pPr>
  </w:style>
  <w:style w:type="paragraph" w:styleId="ListBullet">
    <w:name w:val="List Bullet"/>
    <w:basedOn w:val="List"/>
    <w:rsid w:val="002B26DC"/>
    <w:pPr>
      <w:numPr>
        <w:numId w:val="13"/>
      </w:numPr>
      <w:tabs>
        <w:tab w:val="clear" w:pos="340"/>
      </w:tabs>
      <w:spacing w:before="40" w:after="40"/>
    </w:pPr>
  </w:style>
  <w:style w:type="character" w:customStyle="1" w:styleId="SpecialBold">
    <w:name w:val="Special Bold"/>
    <w:basedOn w:val="DefaultParagraphFont"/>
    <w:rsid w:val="002B26DC"/>
    <w:rPr>
      <w:b/>
      <w:spacing w:val="0"/>
    </w:rPr>
  </w:style>
  <w:style w:type="paragraph" w:styleId="ListBullet2">
    <w:name w:val="List Bullet 2"/>
    <w:basedOn w:val="List2"/>
    <w:rsid w:val="002B26DC"/>
    <w:pPr>
      <w:numPr>
        <w:numId w:val="14"/>
      </w:numPr>
      <w:tabs>
        <w:tab w:val="clear" w:pos="680"/>
      </w:tabs>
    </w:pPr>
  </w:style>
  <w:style w:type="paragraph" w:styleId="Header">
    <w:name w:val="header"/>
    <w:basedOn w:val="Normal"/>
    <w:link w:val="HeaderChar"/>
    <w:rsid w:val="002B26D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B26D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B26DC"/>
    <w:pPr>
      <w:spacing w:before="240" w:after="120"/>
      <w:outlineLvl w:val="0"/>
    </w:pPr>
    <w:rPr>
      <w:rFonts w:ascii="Times New Roman" w:hAnsi="Times New Roman"/>
      <w:b/>
      <w:sz w:val="28"/>
    </w:rPr>
  </w:style>
  <w:style w:type="paragraph" w:customStyle="1" w:styleId="AllowPageBreak">
    <w:name w:val="AllowPageBreak"/>
    <w:rsid w:val="002B26D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B26DC"/>
    <w:pPr>
      <w:tabs>
        <w:tab w:val="left" w:pos="680"/>
      </w:tabs>
      <w:spacing w:before="60" w:after="60"/>
      <w:ind w:left="680" w:hanging="340"/>
    </w:pPr>
  </w:style>
  <w:style w:type="character" w:customStyle="1" w:styleId="BoldandItalics">
    <w:name w:val="Bold and Italics"/>
    <w:qFormat/>
    <w:rsid w:val="002B26DC"/>
    <w:rPr>
      <w:b/>
      <w:i/>
      <w:u w:val="none"/>
    </w:rPr>
  </w:style>
  <w:style w:type="character" w:customStyle="1" w:styleId="Heading2Char">
    <w:name w:val="Heading 2 Char"/>
    <w:basedOn w:val="DefaultParagraphFont"/>
    <w:link w:val="Heading2"/>
    <w:rsid w:val="002B26D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B26D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B26D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B26D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B26D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B26D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B26D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B26DC"/>
    <w:rPr>
      <w:rFonts w:ascii="Courier New" w:eastAsia="Times New Roman" w:hAnsi="Courier New" w:cs="Times New Roman"/>
      <w:i/>
      <w:szCs w:val="20"/>
      <w:lang w:val="en-US" w:eastAsia="en-US"/>
    </w:rPr>
  </w:style>
  <w:style w:type="paragraph" w:customStyle="1" w:styleId="HeadingBase">
    <w:name w:val="Heading Base"/>
    <w:rsid w:val="002B26D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B26DC"/>
    <w:pPr>
      <w:tabs>
        <w:tab w:val="right" w:leader="dot" w:pos="9072"/>
      </w:tabs>
      <w:ind w:left="567"/>
    </w:pPr>
    <w:rPr>
      <w:szCs w:val="22"/>
    </w:rPr>
  </w:style>
  <w:style w:type="paragraph" w:customStyle="1" w:styleId="TOCBase">
    <w:name w:val="TOC Base"/>
    <w:rsid w:val="002B26D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B26DC"/>
    <w:pPr>
      <w:tabs>
        <w:tab w:val="right" w:leader="dot" w:pos="9072"/>
      </w:tabs>
      <w:spacing w:before="40" w:after="40"/>
      <w:ind w:left="284"/>
    </w:pPr>
    <w:rPr>
      <w:rFonts w:ascii="Times New Roman" w:hAnsi="Times New Roman"/>
    </w:rPr>
  </w:style>
  <w:style w:type="paragraph" w:styleId="TOC1">
    <w:name w:val="toc 1"/>
    <w:basedOn w:val="TOCBase"/>
    <w:next w:val="Normal"/>
    <w:rsid w:val="002B26D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B26DC"/>
    <w:pPr>
      <w:spacing w:before="5040"/>
      <w:jc w:val="center"/>
    </w:pPr>
    <w:rPr>
      <w:sz w:val="48"/>
      <w:szCs w:val="72"/>
      <w:lang w:val="en-US"/>
    </w:rPr>
  </w:style>
  <w:style w:type="character" w:customStyle="1" w:styleId="TitleChar">
    <w:name w:val="Title Char"/>
    <w:basedOn w:val="DefaultParagraphFont"/>
    <w:link w:val="Title"/>
    <w:rsid w:val="002B26D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B26DC"/>
    <w:pPr>
      <w:tabs>
        <w:tab w:val="left" w:pos="3600"/>
        <w:tab w:val="left" w:pos="3958"/>
      </w:tabs>
    </w:pPr>
  </w:style>
  <w:style w:type="paragraph" w:customStyle="1" w:styleId="Note">
    <w:name w:val="Note"/>
    <w:basedOn w:val="BodyText"/>
    <w:rsid w:val="002B26D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B26DC"/>
    <w:pPr>
      <w:framePr w:wrap="auto" w:hAnchor="text" w:y="6049"/>
    </w:pPr>
    <w:rPr>
      <w:color w:val="000000"/>
      <w:sz w:val="40"/>
    </w:rPr>
  </w:style>
  <w:style w:type="paragraph" w:customStyle="1" w:styleId="TOCTitle">
    <w:name w:val="TOCTitle"/>
    <w:basedOn w:val="Heading1"/>
    <w:rsid w:val="002B26DC"/>
    <w:pPr>
      <w:spacing w:after="240"/>
      <w:jc w:val="center"/>
      <w:outlineLvl w:val="9"/>
    </w:pPr>
    <w:rPr>
      <w:caps/>
    </w:rPr>
  </w:style>
  <w:style w:type="paragraph" w:customStyle="1" w:styleId="Version">
    <w:name w:val="Version"/>
    <w:rsid w:val="002B26D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B26DC"/>
    <w:pPr>
      <w:keepNext w:val="0"/>
      <w:tabs>
        <w:tab w:val="right" w:pos="4176"/>
      </w:tabs>
      <w:ind w:left="198" w:hanging="198"/>
    </w:pPr>
    <w:rPr>
      <w:rFonts w:ascii="Garamond" w:hAnsi="Garamond"/>
    </w:rPr>
  </w:style>
  <w:style w:type="paragraph" w:styleId="IndexHeading">
    <w:name w:val="index heading"/>
    <w:basedOn w:val="Normal"/>
    <w:next w:val="Index1"/>
    <w:semiHidden/>
    <w:rsid w:val="002B26DC"/>
    <w:pPr>
      <w:spacing w:before="120" w:after="120"/>
    </w:pPr>
    <w:rPr>
      <w:rFonts w:ascii="Arial" w:hAnsi="Arial"/>
      <w:b/>
      <w:color w:val="918585"/>
      <w:sz w:val="24"/>
    </w:rPr>
  </w:style>
  <w:style w:type="paragraph" w:customStyle="1" w:styleId="Chapter">
    <w:name w:val="Chapter"/>
    <w:basedOn w:val="Normal"/>
    <w:rsid w:val="002B26DC"/>
    <w:pPr>
      <w:spacing w:before="240"/>
    </w:pPr>
    <w:rPr>
      <w:rFonts w:ascii="Times New Roman" w:hAnsi="Times New Roman"/>
      <w:smallCaps/>
      <w:spacing w:val="80"/>
      <w:sz w:val="28"/>
    </w:rPr>
  </w:style>
  <w:style w:type="paragraph" w:customStyle="1" w:styleId="InChapter">
    <w:name w:val="InChapter"/>
    <w:basedOn w:val="Heading3"/>
    <w:rsid w:val="002B26DC"/>
    <w:pPr>
      <w:spacing w:after="240"/>
      <w:outlineLvl w:val="9"/>
    </w:pPr>
    <w:rPr>
      <w:noProof/>
    </w:rPr>
  </w:style>
  <w:style w:type="paragraph" w:styleId="Index2">
    <w:name w:val="index 2"/>
    <w:basedOn w:val="Normal"/>
    <w:next w:val="Normal"/>
    <w:semiHidden/>
    <w:rsid w:val="002B26DC"/>
    <w:pPr>
      <w:tabs>
        <w:tab w:val="right" w:pos="4176"/>
      </w:tabs>
      <w:ind w:left="568" w:hanging="284"/>
    </w:pPr>
    <w:rPr>
      <w:rFonts w:ascii="Garamond" w:hAnsi="Garamond"/>
    </w:rPr>
  </w:style>
  <w:style w:type="paragraph" w:customStyle="1" w:styleId="Byline">
    <w:name w:val="Byline"/>
    <w:rsid w:val="002B26D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B26DC"/>
    <w:pPr>
      <w:tabs>
        <w:tab w:val="clear" w:pos="3600"/>
        <w:tab w:val="clear" w:pos="3958"/>
      </w:tabs>
      <w:jc w:val="right"/>
    </w:pPr>
  </w:style>
  <w:style w:type="character" w:styleId="Emphasis">
    <w:name w:val="Emphasis"/>
    <w:basedOn w:val="DefaultParagraphFont"/>
    <w:qFormat/>
    <w:rsid w:val="002B26DC"/>
    <w:rPr>
      <w:i/>
    </w:rPr>
  </w:style>
  <w:style w:type="paragraph" w:styleId="Caption">
    <w:name w:val="caption"/>
    <w:basedOn w:val="BodyText"/>
    <w:next w:val="Normal"/>
    <w:qFormat/>
    <w:rsid w:val="002B26DC"/>
    <w:pPr>
      <w:framePr w:w="2268" w:hSpace="181" w:vSpace="181" w:wrap="around" w:vAnchor="text" w:hAnchor="page" w:x="1135" w:y="285" w:anchorLock="1"/>
    </w:pPr>
    <w:rPr>
      <w:i/>
    </w:rPr>
  </w:style>
  <w:style w:type="paragraph" w:customStyle="1" w:styleId="MiniTOCTitle">
    <w:name w:val="MiniTOCTitle"/>
    <w:basedOn w:val="Heading4"/>
    <w:rsid w:val="002B26DC"/>
    <w:pPr>
      <w:spacing w:before="240"/>
      <w:outlineLvl w:val="9"/>
    </w:pPr>
    <w:rPr>
      <w:noProof/>
      <w:sz w:val="24"/>
    </w:rPr>
  </w:style>
  <w:style w:type="paragraph" w:customStyle="1" w:styleId="MiniTOCItem">
    <w:name w:val="MiniTOCItem"/>
    <w:basedOn w:val="ListBullet"/>
    <w:rsid w:val="002B26DC"/>
    <w:pPr>
      <w:numPr>
        <w:numId w:val="0"/>
      </w:numPr>
      <w:tabs>
        <w:tab w:val="right" w:leader="dot" w:pos="6521"/>
      </w:tabs>
      <w:spacing w:before="0" w:after="0"/>
    </w:pPr>
  </w:style>
  <w:style w:type="paragraph" w:customStyle="1" w:styleId="TOFTitle">
    <w:name w:val="TOFTitle"/>
    <w:basedOn w:val="TOCTitle"/>
    <w:rsid w:val="002B26DC"/>
  </w:style>
  <w:style w:type="paragraph" w:styleId="TableofFigures">
    <w:name w:val="table of figures"/>
    <w:basedOn w:val="Normal"/>
    <w:next w:val="Normal"/>
    <w:semiHidden/>
    <w:rsid w:val="002B26DC"/>
    <w:pPr>
      <w:tabs>
        <w:tab w:val="right" w:leader="dot" w:pos="9072"/>
      </w:tabs>
      <w:ind w:left="970" w:hanging="403"/>
    </w:pPr>
    <w:rPr>
      <w:rFonts w:ascii="Times New Roman" w:hAnsi="Times New Roman"/>
      <w:b/>
    </w:rPr>
  </w:style>
  <w:style w:type="paragraph" w:styleId="ListNumber">
    <w:name w:val="List Number"/>
    <w:basedOn w:val="List"/>
    <w:rsid w:val="002B26DC"/>
    <w:pPr>
      <w:numPr>
        <w:numId w:val="11"/>
      </w:numPr>
    </w:pPr>
  </w:style>
  <w:style w:type="character" w:customStyle="1" w:styleId="WingdingSymbols">
    <w:name w:val="Wingding Symbols"/>
    <w:rsid w:val="002B26DC"/>
    <w:rPr>
      <w:rFonts w:ascii="Wingdings" w:hAnsi="Wingdings"/>
    </w:rPr>
  </w:style>
  <w:style w:type="paragraph" w:customStyle="1" w:styleId="TableHeading">
    <w:name w:val="Table Heading"/>
    <w:basedOn w:val="HeadingBase"/>
    <w:rsid w:val="002B26DC"/>
    <w:pPr>
      <w:keepLines/>
      <w:pBdr>
        <w:bottom w:val="single" w:sz="6" w:space="1" w:color="918585"/>
      </w:pBdr>
      <w:spacing w:before="240"/>
    </w:pPr>
  </w:style>
  <w:style w:type="character" w:customStyle="1" w:styleId="HotSpot">
    <w:name w:val="HotSpot"/>
    <w:rsid w:val="002B26DC"/>
    <w:rPr>
      <w:color w:val="0033CC"/>
      <w:u w:val="none"/>
    </w:rPr>
  </w:style>
  <w:style w:type="paragraph" w:customStyle="1" w:styleId="BodyTextRight">
    <w:name w:val="Body Text Right"/>
    <w:basedOn w:val="BodyText"/>
    <w:rsid w:val="002B26DC"/>
    <w:pPr>
      <w:spacing w:before="0" w:after="0"/>
      <w:jc w:val="right"/>
    </w:pPr>
  </w:style>
  <w:style w:type="paragraph" w:styleId="Index3">
    <w:name w:val="index 3"/>
    <w:basedOn w:val="ListNumber2"/>
    <w:next w:val="Normal"/>
    <w:semiHidden/>
    <w:rsid w:val="002B26DC"/>
    <w:pPr>
      <w:numPr>
        <w:numId w:val="0"/>
      </w:numPr>
      <w:tabs>
        <w:tab w:val="right" w:leader="dot" w:pos="4176"/>
      </w:tabs>
    </w:pPr>
  </w:style>
  <w:style w:type="paragraph" w:styleId="ListNumber2">
    <w:name w:val="List Number 2"/>
    <w:basedOn w:val="List2"/>
    <w:rsid w:val="002B26DC"/>
    <w:pPr>
      <w:numPr>
        <w:numId w:val="10"/>
      </w:numPr>
      <w:tabs>
        <w:tab w:val="clear" w:pos="1060"/>
      </w:tabs>
    </w:pPr>
  </w:style>
  <w:style w:type="paragraph" w:customStyle="1" w:styleId="MarginNote">
    <w:name w:val="Margin Note"/>
    <w:basedOn w:val="BodyText"/>
    <w:rsid w:val="002B26D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B26D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B26D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B26DC"/>
    <w:rPr>
      <w:sz w:val="32"/>
    </w:rPr>
  </w:style>
  <w:style w:type="paragraph" w:customStyle="1" w:styleId="HeadingProcedure">
    <w:name w:val="Heading Procedure"/>
    <w:basedOn w:val="HeadingBase"/>
    <w:next w:val="Normal"/>
    <w:rsid w:val="002B26DC"/>
    <w:pPr>
      <w:tabs>
        <w:tab w:val="left" w:pos="0"/>
      </w:tabs>
      <w:spacing w:before="120" w:after="60"/>
    </w:pPr>
    <w:rPr>
      <w:i/>
      <w:color w:val="918585"/>
      <w:sz w:val="22"/>
    </w:rPr>
  </w:style>
  <w:style w:type="paragraph" w:customStyle="1" w:styleId="TableBodyText">
    <w:name w:val="Table Body Text"/>
    <w:basedOn w:val="BodyText"/>
    <w:rsid w:val="002B26DC"/>
    <w:pPr>
      <w:spacing w:before="60" w:after="60"/>
    </w:pPr>
  </w:style>
  <w:style w:type="paragraph" w:styleId="ListContinue">
    <w:name w:val="List Continue"/>
    <w:basedOn w:val="List"/>
    <w:rsid w:val="002B26DC"/>
    <w:pPr>
      <w:ind w:firstLine="0"/>
    </w:pPr>
  </w:style>
  <w:style w:type="paragraph" w:customStyle="1" w:styleId="ListNote">
    <w:name w:val="List Note"/>
    <w:basedOn w:val="List"/>
    <w:rsid w:val="002B26DC"/>
    <w:pPr>
      <w:pBdr>
        <w:top w:val="single" w:sz="6" w:space="2" w:color="918585"/>
        <w:bottom w:val="single" w:sz="6" w:space="2" w:color="918585"/>
      </w:pBdr>
      <w:tabs>
        <w:tab w:val="left" w:pos="1021"/>
      </w:tabs>
      <w:ind w:firstLine="0"/>
    </w:pPr>
  </w:style>
  <w:style w:type="paragraph" w:customStyle="1" w:styleId="Warning">
    <w:name w:val="Warning"/>
    <w:basedOn w:val="BodyText"/>
    <w:rsid w:val="002B26DC"/>
    <w:pPr>
      <w:shd w:val="clear" w:color="auto" w:fill="D9D9D9"/>
      <w:tabs>
        <w:tab w:val="left" w:pos="992"/>
      </w:tabs>
      <w:ind w:left="119" w:right="119"/>
    </w:pPr>
    <w:rPr>
      <w:sz w:val="20"/>
    </w:rPr>
  </w:style>
  <w:style w:type="paragraph" w:customStyle="1" w:styleId="MarginIcons">
    <w:name w:val="Margin Icons"/>
    <w:basedOn w:val="BodyText"/>
    <w:rsid w:val="002B26D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B26DC"/>
    <w:rPr>
      <w:rFonts w:ascii="Courier New" w:hAnsi="Courier New"/>
    </w:rPr>
  </w:style>
  <w:style w:type="paragraph" w:customStyle="1" w:styleId="NoteBullet">
    <w:name w:val="Note Bullet"/>
    <w:basedOn w:val="Note"/>
    <w:rsid w:val="002B26DC"/>
    <w:pPr>
      <w:tabs>
        <w:tab w:val="clear" w:pos="680"/>
      </w:tabs>
      <w:spacing w:before="60" w:after="60"/>
    </w:pPr>
  </w:style>
  <w:style w:type="paragraph" w:customStyle="1" w:styleId="SubHeading2">
    <w:name w:val="SubHeading2"/>
    <w:basedOn w:val="HeadingBase"/>
    <w:rsid w:val="002B26DC"/>
    <w:pPr>
      <w:spacing w:before="240" w:after="60"/>
    </w:pPr>
    <w:rPr>
      <w:sz w:val="20"/>
    </w:rPr>
  </w:style>
  <w:style w:type="paragraph" w:customStyle="1" w:styleId="SubHeading1">
    <w:name w:val="SubHeading1"/>
    <w:basedOn w:val="HeadingBase"/>
    <w:rsid w:val="002B26DC"/>
    <w:pPr>
      <w:spacing w:before="240" w:after="60"/>
    </w:pPr>
    <w:rPr>
      <w:color w:val="918585"/>
      <w:sz w:val="22"/>
    </w:rPr>
  </w:style>
  <w:style w:type="paragraph" w:customStyle="1" w:styleId="SideHeading">
    <w:name w:val="Side Heading"/>
    <w:basedOn w:val="HeadingBase"/>
    <w:rsid w:val="002B26D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B26DC"/>
    <w:pPr>
      <w:numPr>
        <w:numId w:val="12"/>
      </w:numPr>
    </w:pPr>
  </w:style>
  <w:style w:type="paragraph" w:styleId="PlainText">
    <w:name w:val="Plain Text"/>
    <w:basedOn w:val="Normal"/>
    <w:link w:val="PlainTextChar"/>
    <w:rsid w:val="002B26DC"/>
    <w:rPr>
      <w:sz w:val="20"/>
    </w:rPr>
  </w:style>
  <w:style w:type="character" w:customStyle="1" w:styleId="PlainTextChar">
    <w:name w:val="Plain Text Char"/>
    <w:basedOn w:val="DefaultParagraphFont"/>
    <w:link w:val="PlainText"/>
    <w:rsid w:val="002B26D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B26DC"/>
    <w:rPr>
      <w:b/>
      <w:smallCaps/>
    </w:rPr>
  </w:style>
  <w:style w:type="paragraph" w:customStyle="1" w:styleId="TableListNumber">
    <w:name w:val="Table List Number"/>
    <w:basedOn w:val="ListNumber"/>
    <w:rsid w:val="002B26DC"/>
    <w:pPr>
      <w:numPr>
        <w:numId w:val="0"/>
      </w:numPr>
    </w:pPr>
  </w:style>
  <w:style w:type="paragraph" w:styleId="TOC4">
    <w:name w:val="toc 4"/>
    <w:basedOn w:val="TOCBase"/>
    <w:next w:val="Normal"/>
    <w:semiHidden/>
    <w:rsid w:val="002B26DC"/>
    <w:pPr>
      <w:tabs>
        <w:tab w:val="right" w:leader="dot" w:pos="9071"/>
      </w:tabs>
      <w:ind w:left="1701"/>
    </w:pPr>
  </w:style>
  <w:style w:type="paragraph" w:customStyle="1" w:styleId="ListAlpha">
    <w:name w:val="List Alpha"/>
    <w:basedOn w:val="List"/>
    <w:rsid w:val="002B26DC"/>
    <w:pPr>
      <w:numPr>
        <w:numId w:val="9"/>
      </w:numPr>
    </w:pPr>
  </w:style>
  <w:style w:type="paragraph" w:customStyle="1" w:styleId="ListAlpha2">
    <w:name w:val="List Alpha 2"/>
    <w:basedOn w:val="List2"/>
    <w:rsid w:val="002B26DC"/>
    <w:pPr>
      <w:numPr>
        <w:numId w:val="8"/>
      </w:numPr>
    </w:pPr>
  </w:style>
  <w:style w:type="paragraph" w:styleId="List3">
    <w:name w:val="List 3"/>
    <w:basedOn w:val="BodyText"/>
    <w:rsid w:val="002B26DC"/>
    <w:pPr>
      <w:tabs>
        <w:tab w:val="left" w:pos="1021"/>
      </w:tabs>
      <w:spacing w:before="60" w:after="60"/>
      <w:ind w:left="1020" w:hanging="340"/>
    </w:pPr>
  </w:style>
  <w:style w:type="paragraph" w:styleId="List4">
    <w:name w:val="List 4"/>
    <w:basedOn w:val="BodyText"/>
    <w:rsid w:val="002B26DC"/>
    <w:pPr>
      <w:tabs>
        <w:tab w:val="left" w:pos="1361"/>
      </w:tabs>
      <w:spacing w:before="60" w:after="60"/>
      <w:ind w:left="1361" w:hanging="340"/>
    </w:pPr>
  </w:style>
  <w:style w:type="paragraph" w:styleId="List5">
    <w:name w:val="List 5"/>
    <w:basedOn w:val="BodyText"/>
    <w:rsid w:val="002B26DC"/>
    <w:pPr>
      <w:tabs>
        <w:tab w:val="left" w:pos="1701"/>
      </w:tabs>
      <w:spacing w:before="60" w:after="60"/>
      <w:ind w:left="1701" w:hanging="340"/>
    </w:pPr>
  </w:style>
  <w:style w:type="paragraph" w:styleId="ListBullet3">
    <w:name w:val="List Bullet 3"/>
    <w:basedOn w:val="List3"/>
    <w:rsid w:val="002B26DC"/>
    <w:pPr>
      <w:numPr>
        <w:numId w:val="15"/>
      </w:numPr>
      <w:tabs>
        <w:tab w:val="clear" w:pos="1021"/>
      </w:tabs>
      <w:ind w:left="1037" w:hanging="357"/>
    </w:pPr>
  </w:style>
  <w:style w:type="paragraph" w:styleId="ListBullet4">
    <w:name w:val="List Bullet 4"/>
    <w:basedOn w:val="List4"/>
    <w:rsid w:val="002B26DC"/>
    <w:pPr>
      <w:numPr>
        <w:numId w:val="3"/>
      </w:numPr>
    </w:pPr>
  </w:style>
  <w:style w:type="paragraph" w:styleId="ListBullet5">
    <w:name w:val="List Bullet 5"/>
    <w:basedOn w:val="List5"/>
    <w:rsid w:val="002B26DC"/>
    <w:pPr>
      <w:numPr>
        <w:numId w:val="4"/>
      </w:numPr>
    </w:pPr>
  </w:style>
  <w:style w:type="paragraph" w:styleId="ListContinue2">
    <w:name w:val="List Continue 2"/>
    <w:basedOn w:val="List2"/>
    <w:rsid w:val="002B26DC"/>
    <w:pPr>
      <w:ind w:firstLine="0"/>
    </w:pPr>
  </w:style>
  <w:style w:type="paragraph" w:styleId="ListContinue3">
    <w:name w:val="List Continue 3"/>
    <w:basedOn w:val="List3"/>
    <w:rsid w:val="002B26DC"/>
    <w:pPr>
      <w:ind w:left="1021" w:firstLine="0"/>
    </w:pPr>
  </w:style>
  <w:style w:type="paragraph" w:styleId="ListContinue4">
    <w:name w:val="List Continue 4"/>
    <w:basedOn w:val="List4"/>
    <w:rsid w:val="002B26DC"/>
    <w:pPr>
      <w:ind w:firstLine="0"/>
    </w:pPr>
  </w:style>
  <w:style w:type="paragraph" w:styleId="ListContinue5">
    <w:name w:val="List Continue 5"/>
    <w:basedOn w:val="List5"/>
    <w:rsid w:val="002B26DC"/>
    <w:pPr>
      <w:ind w:firstLine="0"/>
    </w:pPr>
  </w:style>
  <w:style w:type="paragraph" w:styleId="ListNumber3">
    <w:name w:val="List Number 3"/>
    <w:basedOn w:val="List3"/>
    <w:rsid w:val="002B26DC"/>
    <w:pPr>
      <w:numPr>
        <w:numId w:val="5"/>
      </w:numPr>
    </w:pPr>
  </w:style>
  <w:style w:type="paragraph" w:styleId="ListNumber4">
    <w:name w:val="List Number 4"/>
    <w:basedOn w:val="List4"/>
    <w:rsid w:val="002B26DC"/>
    <w:pPr>
      <w:numPr>
        <w:numId w:val="6"/>
      </w:numPr>
    </w:pPr>
  </w:style>
  <w:style w:type="paragraph" w:styleId="ListNumber5">
    <w:name w:val="List Number 5"/>
    <w:basedOn w:val="List5"/>
    <w:rsid w:val="002B26DC"/>
    <w:pPr>
      <w:numPr>
        <w:numId w:val="7"/>
      </w:numPr>
    </w:pPr>
  </w:style>
  <w:style w:type="paragraph" w:styleId="BlockText">
    <w:name w:val="Block Text"/>
    <w:basedOn w:val="Normal"/>
    <w:rsid w:val="002B26DC"/>
    <w:pPr>
      <w:spacing w:after="120"/>
      <w:ind w:left="1440" w:right="1440"/>
    </w:pPr>
  </w:style>
  <w:style w:type="character" w:customStyle="1" w:styleId="Subscript">
    <w:name w:val="Subscript"/>
    <w:basedOn w:val="DefaultParagraphFont"/>
    <w:rsid w:val="002B26DC"/>
    <w:rPr>
      <w:sz w:val="16"/>
      <w:vertAlign w:val="subscript"/>
    </w:rPr>
  </w:style>
  <w:style w:type="character" w:customStyle="1" w:styleId="Superscript">
    <w:name w:val="Superscript"/>
    <w:basedOn w:val="DefaultParagraphFont"/>
    <w:rsid w:val="002B26DC"/>
    <w:rPr>
      <w:sz w:val="16"/>
      <w:vertAlign w:val="superscript"/>
    </w:rPr>
  </w:style>
  <w:style w:type="character" w:customStyle="1" w:styleId="Symbols">
    <w:name w:val="Symbols"/>
    <w:basedOn w:val="DefaultParagraphFont"/>
    <w:rsid w:val="002B26DC"/>
    <w:rPr>
      <w:rFonts w:ascii="Symbol" w:hAnsi="Symbol"/>
    </w:rPr>
  </w:style>
  <w:style w:type="character" w:customStyle="1" w:styleId="MenuOptions">
    <w:name w:val="Menu Options"/>
    <w:basedOn w:val="DefaultParagraphFont"/>
    <w:rsid w:val="002B26DC"/>
    <w:rPr>
      <w:rFonts w:ascii="Arial Narrow" w:hAnsi="Arial Narrow"/>
      <w:smallCaps/>
    </w:rPr>
  </w:style>
  <w:style w:type="character" w:customStyle="1" w:styleId="Buttons">
    <w:name w:val="Buttons"/>
    <w:basedOn w:val="DefaultParagraphFont"/>
    <w:rsid w:val="002B26DC"/>
    <w:rPr>
      <w:b/>
    </w:rPr>
  </w:style>
  <w:style w:type="character" w:customStyle="1" w:styleId="Underlined">
    <w:name w:val="Underlined"/>
    <w:basedOn w:val="DefaultParagraphFont"/>
    <w:rsid w:val="002B26DC"/>
    <w:rPr>
      <w:u w:val="single"/>
    </w:rPr>
  </w:style>
  <w:style w:type="paragraph" w:customStyle="1" w:styleId="TableBodyTextRight">
    <w:name w:val="Table Body Text Right"/>
    <w:basedOn w:val="TableBodyText"/>
    <w:rsid w:val="002B26DC"/>
    <w:pPr>
      <w:widowControl w:val="0"/>
      <w:autoSpaceDE w:val="0"/>
      <w:autoSpaceDN w:val="0"/>
      <w:adjustRightInd w:val="0"/>
      <w:jc w:val="right"/>
    </w:pPr>
    <w:rPr>
      <w:rFonts w:cs="Arial"/>
      <w:szCs w:val="18"/>
    </w:rPr>
  </w:style>
  <w:style w:type="paragraph" w:customStyle="1" w:styleId="CopyrightText">
    <w:name w:val="Copyright Text"/>
    <w:basedOn w:val="BodyText"/>
    <w:rsid w:val="002B26DC"/>
    <w:rPr>
      <w:sz w:val="18"/>
    </w:rPr>
  </w:style>
  <w:style w:type="paragraph" w:customStyle="1" w:styleId="BodySmallRight">
    <w:name w:val="Body Small Right"/>
    <w:basedOn w:val="BodyTextRight"/>
    <w:rsid w:val="002B26DC"/>
    <w:rPr>
      <w:sz w:val="18"/>
      <w:szCs w:val="18"/>
    </w:rPr>
  </w:style>
  <w:style w:type="paragraph" w:customStyle="1" w:styleId="MarginEdition">
    <w:name w:val="Margin Edition"/>
    <w:basedOn w:val="MarginNote"/>
    <w:rsid w:val="002B26DC"/>
    <w:pPr>
      <w:spacing w:before="0" w:after="0"/>
    </w:pPr>
    <w:rPr>
      <w:rFonts w:ascii="Times New Roman" w:hAnsi="Times New Roman"/>
      <w:color w:val="999999"/>
    </w:rPr>
  </w:style>
  <w:style w:type="paragraph" w:customStyle="1" w:styleId="Spacer">
    <w:name w:val="Spacer"/>
    <w:basedOn w:val="Normal"/>
    <w:rsid w:val="002B26DC"/>
    <w:rPr>
      <w:sz w:val="2"/>
      <w:szCs w:val="2"/>
    </w:rPr>
  </w:style>
  <w:style w:type="character" w:customStyle="1" w:styleId="Small">
    <w:name w:val="Small"/>
    <w:basedOn w:val="DefaultParagraphFont"/>
    <w:rsid w:val="002B26DC"/>
    <w:rPr>
      <w:sz w:val="16"/>
    </w:rPr>
  </w:style>
  <w:style w:type="paragraph" w:customStyle="1" w:styleId="WideTable">
    <w:name w:val="Wide Table"/>
    <w:basedOn w:val="Normal"/>
    <w:rsid w:val="002B26DC"/>
    <w:pPr>
      <w:ind w:left="-1418"/>
    </w:pPr>
    <w:rPr>
      <w:sz w:val="2"/>
      <w:szCs w:val="2"/>
    </w:rPr>
  </w:style>
  <w:style w:type="character" w:styleId="PageNumber">
    <w:name w:val="page number"/>
    <w:basedOn w:val="DefaultParagraphFont"/>
    <w:rsid w:val="002B26DC"/>
  </w:style>
  <w:style w:type="paragraph" w:styleId="Quote">
    <w:name w:val="Quote"/>
    <w:basedOn w:val="Heading1"/>
    <w:link w:val="QuoteChar"/>
    <w:qFormat/>
    <w:rsid w:val="002B26DC"/>
    <w:rPr>
      <w:b w:val="0"/>
      <w:sz w:val="72"/>
      <w:szCs w:val="72"/>
      <w:lang w:val="en-NZ"/>
    </w:rPr>
  </w:style>
  <w:style w:type="character" w:customStyle="1" w:styleId="QuoteChar">
    <w:name w:val="Quote Char"/>
    <w:basedOn w:val="DefaultParagraphFont"/>
    <w:link w:val="Quote"/>
    <w:rsid w:val="002B26D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B26DC"/>
    <w:pPr>
      <w:pageBreakBefore/>
    </w:pPr>
  </w:style>
  <w:style w:type="paragraph" w:customStyle="1" w:styleId="Border">
    <w:name w:val="Border"/>
    <w:basedOn w:val="Normal"/>
    <w:qFormat/>
    <w:rsid w:val="002B26D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B26DC"/>
    <w:rPr>
      <w:b/>
      <w:bCs/>
      <w:i/>
      <w:iCs/>
      <w:color w:val="auto"/>
    </w:rPr>
  </w:style>
  <w:style w:type="paragraph" w:styleId="IntenseQuote">
    <w:name w:val="Intense Quote"/>
    <w:basedOn w:val="Normal"/>
    <w:next w:val="Normal"/>
    <w:link w:val="IntenseQuoteChar"/>
    <w:uiPriority w:val="30"/>
    <w:qFormat/>
    <w:rsid w:val="002B26D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B26D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B26DC"/>
    <w:rPr>
      <w:smallCaps/>
      <w:color w:val="auto"/>
      <w:u w:val="single"/>
    </w:rPr>
  </w:style>
  <w:style w:type="character" w:styleId="IntenseReference">
    <w:name w:val="Intense Reference"/>
    <w:basedOn w:val="DefaultParagraphFont"/>
    <w:uiPriority w:val="32"/>
    <w:qFormat/>
    <w:rsid w:val="002B26DC"/>
    <w:rPr>
      <w:b/>
      <w:bCs/>
      <w:smallCaps/>
      <w:color w:val="auto"/>
      <w:spacing w:val="5"/>
      <w:u w:val="single"/>
    </w:rPr>
  </w:style>
  <w:style w:type="paragraph" w:customStyle="1" w:styleId="2ColumnHeading">
    <w:name w:val="2Column Heading"/>
    <w:basedOn w:val="BodyText"/>
    <w:qFormat/>
    <w:rsid w:val="002B26DC"/>
    <w:pPr>
      <w:spacing w:after="60"/>
      <w:ind w:left="-2268"/>
    </w:pPr>
    <w:rPr>
      <w:b/>
    </w:rPr>
  </w:style>
  <w:style w:type="paragraph" w:customStyle="1" w:styleId="Heading1TOC">
    <w:name w:val="Heading1 TOC"/>
    <w:basedOn w:val="Normal"/>
    <w:qFormat/>
    <w:rsid w:val="002B26DC"/>
    <w:pPr>
      <w:spacing w:before="240" w:after="120"/>
    </w:pPr>
    <w:rPr>
      <w:rFonts w:ascii="Times New Roman" w:hAnsi="Times New Roman"/>
      <w:b/>
      <w:sz w:val="32"/>
    </w:rPr>
  </w:style>
  <w:style w:type="paragraph" w:customStyle="1" w:styleId="Heading2TOC">
    <w:name w:val="Heading2 TOC"/>
    <w:basedOn w:val="Normal"/>
    <w:qFormat/>
    <w:rsid w:val="002B26DC"/>
    <w:pPr>
      <w:spacing w:before="240" w:after="60"/>
    </w:pPr>
    <w:rPr>
      <w:rFonts w:ascii="Times New Roman" w:hAnsi="Times New Roman"/>
      <w:b/>
      <w:sz w:val="28"/>
    </w:rPr>
  </w:style>
  <w:style w:type="character" w:customStyle="1" w:styleId="Underline">
    <w:name w:val="Underline"/>
    <w:basedOn w:val="DefaultParagraphFont"/>
    <w:qFormat/>
    <w:rsid w:val="002B26DC"/>
    <w:rPr>
      <w:u w:val="single"/>
    </w:rPr>
  </w:style>
  <w:style w:type="paragraph" w:styleId="BalloonText">
    <w:name w:val="Balloon Text"/>
    <w:basedOn w:val="Normal"/>
    <w:link w:val="BalloonTextChar"/>
    <w:rsid w:val="002B26DC"/>
    <w:rPr>
      <w:rFonts w:ascii="Tahoma" w:hAnsi="Tahoma" w:cs="Tahoma"/>
      <w:sz w:val="16"/>
      <w:szCs w:val="16"/>
    </w:rPr>
  </w:style>
  <w:style w:type="character" w:customStyle="1" w:styleId="BalloonTextChar">
    <w:name w:val="Balloon Text Char"/>
    <w:basedOn w:val="DefaultParagraphFont"/>
    <w:link w:val="BalloonText"/>
    <w:rsid w:val="002B26D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B26D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B26D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1576</Words>
  <Characters>9861</Characters>
  <Application>Microsoft Office Word</Application>
  <DocSecurity>0</DocSecurity>
  <Lines>332</Lines>
  <Paragraphs>153</Paragraphs>
  <ScaleCrop>false</ScaleCrop>
  <Company>Author-it Software Corporation Ltd.</Company>
  <LinksUpToDate>false</LinksUpToDate>
  <CharactersWithSpaces>11368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ACMACR409A Prepare and present animal control and regulation case</dc:title>
  <dc:subject>Approved</dc:subject>
  <dc:creator>AgriFood Skills Australia</dc:creator>
  <cp:keywords>Revision Number: 1</cp:keywords>
  <dc:description>Copyright © 1996-2007 Author-it Software Corporation Ltd., all rights reserved.</dc:description>
  <cp:lastModifiedBy>Windows User</cp:lastModifiedBy>
  <cp:revision>3</cp:revision>
  <dcterms:created xsi:type="dcterms:W3CDTF">2012-05-26T12:30:00Z</dcterms:created>
  <dcterms:modified xsi:type="dcterms:W3CDTF">2012-05-26T12:30:00Z</dcterms:modified>
</cp:coreProperties>
</file>