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6AF" w:rsidP="00CD5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ACMVET505 Prepare for veterinary emergency response</w:t>
      </w:r>
      <w:r>
        <w:fldChar w:fldCharType="end"/>
      </w:r>
    </w:p>
    <w:p w:rsidR="00CD56AF" w:rsidP="00CD56AF">
      <w:pPr>
        <w:pStyle w:val="Version"/>
        <w:sectPr w:rsidSect="00EE2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26F6" w:rsidP="00EE26F6">
      <w:pPr>
        <w:pStyle w:val="SuperHeading"/>
      </w:pPr>
      <w:r w:rsidRPr="00EE26F6">
        <w:t>Assessment Requirements for ACMVET505 Prepare for veterinary emergency response</w:t>
      </w:r>
    </w:p>
    <w:p w:rsidR="00000000" w:rsidRPr="00EE26F6" w:rsidP="00EE26F6">
      <w:pPr>
        <w:pStyle w:val="Heading1"/>
      </w:pPr>
      <w:bookmarkStart w:id="1" w:name="O_1180664"/>
      <w:bookmarkEnd w:id="1"/>
      <w:r w:rsidRPr="00EE26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2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6F6">
            <w:pPr>
              <w:pStyle w:val="BodyTextBold"/>
              <w:rPr>
                <w:lang w:val="en-NZ"/>
              </w:rPr>
            </w:pPr>
            <w:r w:rsidRPr="00EE26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6F6">
            <w:pPr>
              <w:pStyle w:val="BodyTextBold"/>
              <w:rPr>
                <w:lang w:val="en-NZ"/>
              </w:rPr>
            </w:pPr>
            <w:r w:rsidRPr="00EE26F6">
              <w:t>Comments</w:t>
            </w:r>
          </w:p>
        </w:tc>
      </w:tr>
      <w:tr w:rsidTr="00EE2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6F6">
            <w:pPr>
              <w:pStyle w:val="BodyText"/>
              <w:rPr>
                <w:lang w:val="en-NZ"/>
              </w:rPr>
            </w:pPr>
            <w:r w:rsidRPr="00EE26F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6F6">
            <w:pPr>
              <w:pStyle w:val="BodyText"/>
              <w:rPr>
                <w:lang w:val="en-NZ"/>
              </w:rPr>
            </w:pPr>
            <w:r w:rsidRPr="00EE26F6">
              <w:t>This version released with ACM Animal Care and Management Training Package Version 4.0.</w:t>
            </w:r>
          </w:p>
        </w:tc>
      </w:tr>
      <w:tr w:rsidTr="00EE26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6F6">
            <w:pPr>
              <w:pStyle w:val="BodyText"/>
              <w:rPr>
                <w:lang w:val="en-NZ"/>
              </w:rPr>
            </w:pPr>
            <w:r w:rsidRPr="00EE26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6F6" w:rsidP="00EE26F6">
            <w:pPr>
              <w:pStyle w:val="BodyText"/>
            </w:pPr>
            <w:r w:rsidRPr="00EE26F6">
              <w:t>This version released with ACM Animal Care and Management Training Package Version 2.0.</w:t>
            </w:r>
          </w:p>
        </w:tc>
      </w:tr>
    </w:tbl>
    <w:p w:rsidR="00000000" w:rsidRPr="00EE26F6" w:rsidP="00EE26F6">
      <w:pPr>
        <w:pStyle w:val="BodyText"/>
      </w:pPr>
    </w:p>
    <w:p w:rsidR="00000000" w:rsidRPr="00EE26F6" w:rsidP="00EE26F6">
      <w:pPr>
        <w:pStyle w:val="AllowPageBreak"/>
      </w:pPr>
    </w:p>
    <w:p w:rsidR="00000000" w:rsidRPr="00EE26F6" w:rsidP="00EE26F6">
      <w:pPr>
        <w:pStyle w:val="Heading1"/>
      </w:pPr>
      <w:bookmarkStart w:id="2" w:name="O_1180663"/>
      <w:bookmarkEnd w:id="2"/>
      <w:r w:rsidRPr="00EE26F6">
        <w:t>Performance Evidence</w:t>
      </w:r>
    </w:p>
    <w:p w:rsidR="00000000" w:rsidRPr="00EE26F6" w:rsidP="00CD56AF">
      <w:pPr>
        <w:pStyle w:val="BodyText"/>
      </w:pPr>
      <w:r w:rsidRPr="00EE26F6">
        <w:t xml:space="preserve">An individual demonstrating competency must satisfy all of the elements and performance criteria in this unit. </w:t>
      </w:r>
    </w:p>
    <w:p w:rsidR="00000000" w:rsidRPr="00EE26F6" w:rsidP="00CD56AF">
      <w:pPr>
        <w:pStyle w:val="BodyText"/>
      </w:pPr>
      <w:r w:rsidRPr="00EE26F6">
        <w:t xml:space="preserve">There must be </w:t>
      </w:r>
      <w:r w:rsidRPr="00EE26F6">
        <w:t xml:space="preserve">evidence that the individual has: </w:t>
      </w:r>
    </w:p>
    <w:p w:rsidR="00000000" w:rsidRPr="00EE26F6" w:rsidP="00EE26F6">
      <w:pPr>
        <w:pStyle w:val="ListBullet"/>
      </w:pPr>
      <w:r w:rsidRPr="00EE26F6">
        <w:t xml:space="preserve">organised and prepared resources and equipment for emergency and critical care procedures, including each of the following: </w:t>
      </w:r>
    </w:p>
    <w:p w:rsidR="00000000" w:rsidRPr="00EE26F6" w:rsidP="00EE26F6">
      <w:pPr>
        <w:pStyle w:val="ListBullet2"/>
      </w:pPr>
      <w:r w:rsidRPr="00EE26F6">
        <w:t xml:space="preserve">a trauma </w:t>
      </w:r>
    </w:p>
    <w:p w:rsidR="00000000" w:rsidRPr="00EE26F6" w:rsidP="00EE26F6">
      <w:pPr>
        <w:pStyle w:val="ListBullet2"/>
      </w:pPr>
      <w:r w:rsidRPr="00EE26F6">
        <w:t xml:space="preserve">surgical procedures, including thoracic and abdominal </w:t>
      </w:r>
    </w:p>
    <w:p w:rsidR="00000000" w:rsidRPr="00EE26F6" w:rsidP="00EE26F6">
      <w:pPr>
        <w:pStyle w:val="ListBullet2"/>
      </w:pPr>
      <w:r w:rsidRPr="00EE26F6">
        <w:t xml:space="preserve">a blood transfusion </w:t>
      </w:r>
    </w:p>
    <w:p w:rsidR="00000000" w:rsidRPr="00EE26F6" w:rsidP="00EE26F6">
      <w:pPr>
        <w:pStyle w:val="ListBullet2"/>
      </w:pPr>
      <w:r w:rsidRPr="00EE26F6">
        <w:t xml:space="preserve">a cardiac or respiratory arrest </w:t>
      </w:r>
    </w:p>
    <w:p w:rsidR="00000000" w:rsidRPr="00EE26F6" w:rsidP="00EE26F6">
      <w:pPr>
        <w:pStyle w:val="ListBullet2"/>
      </w:pPr>
      <w:r w:rsidRPr="00EE26F6">
        <w:t xml:space="preserve">multiple organ dysfunction syndrome (MODS) </w:t>
      </w:r>
    </w:p>
    <w:p w:rsidR="00000000" w:rsidRPr="00EE26F6" w:rsidP="00EE26F6">
      <w:pPr>
        <w:pStyle w:val="ListBullet"/>
      </w:pPr>
      <w:r w:rsidRPr="00EE26F6">
        <w:t xml:space="preserve">prepared veterinary practice staff for a veterinary emergency response on a minimum of one occasion </w:t>
      </w:r>
    </w:p>
    <w:p w:rsidR="00000000" w:rsidRPr="00EE26F6" w:rsidP="00EE26F6">
      <w:pPr>
        <w:pStyle w:val="ListBullet"/>
      </w:pPr>
      <w:r w:rsidRPr="00EE26F6">
        <w:t xml:space="preserve">developed one emergency or critical care protocol </w:t>
      </w:r>
    </w:p>
    <w:p w:rsidR="00000000" w:rsidRPr="00EE26F6" w:rsidP="00EE26F6">
      <w:pPr>
        <w:pStyle w:val="ListBullet"/>
      </w:pPr>
      <w:r w:rsidRPr="00EE26F6">
        <w:t>performed the activities o</w:t>
      </w:r>
      <w:r w:rsidRPr="00EE26F6">
        <w:t xml:space="preserve">utlined in the performance criteria of this unit during a period of at least 240 hours of work in a veterinary practice. </w:t>
      </w:r>
    </w:p>
    <w:p w:rsidR="00000000" w:rsidRPr="00EE26F6" w:rsidP="00EE26F6">
      <w:pPr>
        <w:pStyle w:val="AllowPageBreak"/>
      </w:pPr>
    </w:p>
    <w:p w:rsidR="00000000" w:rsidRPr="00EE26F6" w:rsidP="00EE26F6">
      <w:pPr>
        <w:pStyle w:val="Heading1"/>
      </w:pPr>
      <w:bookmarkStart w:id="3" w:name="O_1180662"/>
      <w:bookmarkEnd w:id="3"/>
      <w:r w:rsidRPr="00EE26F6">
        <w:t>Knowledge Evidence</w:t>
      </w:r>
    </w:p>
    <w:p w:rsidR="00000000" w:rsidRPr="00EE26F6" w:rsidP="00CD56AF">
      <w:pPr>
        <w:pStyle w:val="BodyText"/>
      </w:pPr>
      <w:r w:rsidRPr="00EE26F6">
        <w:t>An individual must be able to demonstrate the knowledge required to perform the tasks in relatio</w:t>
      </w:r>
      <w:r w:rsidRPr="00EE26F6">
        <w:t xml:space="preserve">n to emergency and critical care outlined in the elements and performance criteria of this unit. This includes knowledge of: </w:t>
      </w:r>
    </w:p>
    <w:p w:rsidR="00000000" w:rsidRPr="00EE26F6" w:rsidP="00EE26F6">
      <w:pPr>
        <w:pStyle w:val="ListBullet"/>
      </w:pPr>
      <w:r w:rsidRPr="00EE26F6">
        <w:t xml:space="preserve">emergency and critical care procedures, including: </w:t>
      </w:r>
    </w:p>
    <w:p w:rsidR="00000000" w:rsidRPr="00EE26F6" w:rsidP="00EE26F6">
      <w:pPr>
        <w:pStyle w:val="ListBullet2"/>
      </w:pPr>
      <w:r w:rsidRPr="00EE26F6">
        <w:t xml:space="preserve">medical emergencies </w:t>
      </w:r>
    </w:p>
    <w:p w:rsidR="00000000" w:rsidRPr="00EE26F6" w:rsidP="00EE26F6">
      <w:pPr>
        <w:pStyle w:val="ListBullet2"/>
      </w:pPr>
      <w:r w:rsidRPr="00EE26F6">
        <w:t xml:space="preserve">surgical procedures (thoracic and abdominal) </w:t>
      </w:r>
    </w:p>
    <w:p w:rsidR="00000000" w:rsidRPr="00EE26F6" w:rsidP="00EE26F6">
      <w:pPr>
        <w:pStyle w:val="ListBullet2"/>
      </w:pPr>
      <w:r w:rsidRPr="00EE26F6">
        <w:t xml:space="preserve">haematological diseases requiring blood transfusions </w:t>
      </w:r>
    </w:p>
    <w:p w:rsidR="00000000" w:rsidRPr="00EE26F6" w:rsidP="00EE26F6">
      <w:pPr>
        <w:pStyle w:val="ListBullet2"/>
      </w:pPr>
      <w:r w:rsidRPr="00EE26F6">
        <w:t xml:space="preserve">systemic inflammatory response syndrome (SIRS) </w:t>
      </w:r>
    </w:p>
    <w:p w:rsidR="00000000" w:rsidRPr="00EE26F6" w:rsidP="00EE26F6">
      <w:pPr>
        <w:pStyle w:val="ListBullet2"/>
      </w:pPr>
      <w:r w:rsidRPr="00EE26F6">
        <w:t xml:space="preserve">sepsis </w:t>
      </w:r>
    </w:p>
    <w:p w:rsidR="00000000" w:rsidRPr="00EE26F6" w:rsidP="00EE26F6">
      <w:pPr>
        <w:pStyle w:val="ListBullet2"/>
      </w:pPr>
      <w:r w:rsidRPr="00EE26F6">
        <w:t xml:space="preserve">multiple organ dysfunction syndrome (MODS) </w:t>
      </w:r>
    </w:p>
    <w:p w:rsidR="00000000" w:rsidRPr="00EE26F6" w:rsidP="00EE26F6">
      <w:pPr>
        <w:pStyle w:val="ListBullet2"/>
      </w:pPr>
      <w:r w:rsidRPr="00EE26F6">
        <w:t xml:space="preserve">cardiac and respiratory arrest </w:t>
      </w:r>
    </w:p>
    <w:p w:rsidR="00000000" w:rsidRPr="00EE26F6" w:rsidP="00EE26F6">
      <w:pPr>
        <w:pStyle w:val="ListBullet2"/>
      </w:pPr>
      <w:r w:rsidRPr="00EE26F6">
        <w:t xml:space="preserve">trauma </w:t>
      </w:r>
    </w:p>
    <w:p w:rsidR="00000000" w:rsidRPr="00EE26F6" w:rsidP="00EE26F6">
      <w:pPr>
        <w:pStyle w:val="ListBullet"/>
      </w:pPr>
      <w:r w:rsidRPr="00EE26F6">
        <w:t>purpose of equipment, instruments and resources required to p</w:t>
      </w:r>
      <w:r w:rsidRPr="00EE26F6">
        <w:t xml:space="preserve">erform critical care procedures or processes, including: </w:t>
      </w:r>
    </w:p>
    <w:p w:rsidR="00000000" w:rsidRPr="00EE26F6" w:rsidP="00EE26F6">
      <w:pPr>
        <w:pStyle w:val="ListBullet2"/>
      </w:pPr>
      <w:r w:rsidRPr="00EE26F6">
        <w:t xml:space="preserve">toxin recognition </w:t>
      </w:r>
    </w:p>
    <w:p w:rsidR="00000000" w:rsidRPr="00EE26F6" w:rsidP="00EE26F6">
      <w:pPr>
        <w:pStyle w:val="ListBullet2"/>
      </w:pPr>
      <w:r w:rsidRPr="00EE26F6">
        <w:t xml:space="preserve">management of topical and ingested toxins </w:t>
      </w:r>
    </w:p>
    <w:p w:rsidR="00000000" w:rsidRPr="00EE26F6" w:rsidP="00EE26F6">
      <w:pPr>
        <w:pStyle w:val="ListBullet2"/>
      </w:pPr>
      <w:r w:rsidRPr="00EE26F6">
        <w:t xml:space="preserve">emergency situations that may result from specific clinical conditions </w:t>
      </w:r>
    </w:p>
    <w:p w:rsidR="00000000" w:rsidRPr="00EE26F6" w:rsidP="00EE26F6">
      <w:pPr>
        <w:pStyle w:val="ListBullet2"/>
      </w:pPr>
      <w:r w:rsidRPr="00EE26F6">
        <w:t>requirements for practice personnel mental and physical prepare</w:t>
      </w:r>
      <w:r w:rsidRPr="00EE26F6">
        <w:t xml:space="preserve">dness for emergencies </w:t>
      </w:r>
    </w:p>
    <w:p w:rsidR="00000000" w:rsidRPr="00EE26F6" w:rsidP="00EE26F6">
      <w:pPr>
        <w:pStyle w:val="ListBullet"/>
      </w:pPr>
      <w:r w:rsidRPr="00EE26F6">
        <w:t xml:space="preserve">identification and purpose of equipment and resources required in an emergency station, including: </w:t>
      </w:r>
    </w:p>
    <w:p w:rsidR="00000000" w:rsidRPr="00EE26F6" w:rsidP="00EE26F6">
      <w:pPr>
        <w:pStyle w:val="ListBullet2"/>
      </w:pPr>
      <w:r w:rsidRPr="00EE26F6">
        <w:t xml:space="preserve">antidotes, antivenoms and antitoxoids </w:t>
      </w:r>
    </w:p>
    <w:p w:rsidR="00000000" w:rsidRPr="00EE26F6" w:rsidP="00EE26F6">
      <w:pPr>
        <w:pStyle w:val="ListBullet2"/>
      </w:pPr>
      <w:r w:rsidRPr="00EE26F6">
        <w:t xml:space="preserve">blood products including individual components </w:t>
      </w:r>
    </w:p>
    <w:p w:rsidR="00000000" w:rsidRPr="00EE26F6" w:rsidP="00EE26F6">
      <w:pPr>
        <w:pStyle w:val="ListBullet2"/>
      </w:pPr>
      <w:r w:rsidRPr="00EE26F6">
        <w:t xml:space="preserve">cardiopulmonary resuscitation equipment </w:t>
      </w:r>
    </w:p>
    <w:p w:rsidR="00000000" w:rsidRPr="00EE26F6" w:rsidP="00EE26F6">
      <w:pPr>
        <w:pStyle w:val="ListBullet2"/>
      </w:pPr>
      <w:r w:rsidRPr="00EE26F6">
        <w:t xml:space="preserve">intravenous fluids including crystalloids and colloids </w:t>
      </w:r>
    </w:p>
    <w:p w:rsidR="00000000" w:rsidRPr="00EE26F6" w:rsidP="00EE26F6">
      <w:pPr>
        <w:pStyle w:val="ListBullet2"/>
      </w:pPr>
      <w:r w:rsidRPr="00EE26F6">
        <w:t xml:space="preserve">crash carts </w:t>
      </w:r>
    </w:p>
    <w:p w:rsidR="00000000" w:rsidRPr="00EE26F6" w:rsidP="00EE26F6">
      <w:pPr>
        <w:pStyle w:val="ListBullet2"/>
      </w:pPr>
      <w:r w:rsidRPr="00EE26F6">
        <w:t xml:space="preserve">vital sign monitors </w:t>
      </w:r>
    </w:p>
    <w:p w:rsidR="00000000" w:rsidRPr="00EE26F6" w:rsidP="00EE26F6">
      <w:pPr>
        <w:pStyle w:val="ListBullet2"/>
      </w:pPr>
      <w:r w:rsidRPr="00EE26F6">
        <w:t xml:space="preserve">respiratory resuscitation equipment </w:t>
      </w:r>
    </w:p>
    <w:p w:rsidR="00000000" w:rsidRPr="00EE26F6" w:rsidP="00EE26F6">
      <w:pPr>
        <w:pStyle w:val="ListBullet2"/>
      </w:pPr>
      <w:r w:rsidRPr="00EE26F6">
        <w:t xml:space="preserve">restraints (physical and chemical) </w:t>
      </w:r>
    </w:p>
    <w:p w:rsidR="00000000" w:rsidRPr="00EE26F6" w:rsidP="00EE26F6">
      <w:pPr>
        <w:pStyle w:val="ListBullet2"/>
      </w:pPr>
      <w:r w:rsidRPr="00EE26F6">
        <w:t xml:space="preserve">emergency procedure wall charts </w:t>
      </w:r>
    </w:p>
    <w:p w:rsidR="00000000" w:rsidRPr="00EE26F6" w:rsidP="00EE26F6">
      <w:pPr>
        <w:pStyle w:val="ListBullet"/>
      </w:pPr>
      <w:r w:rsidRPr="00EE26F6">
        <w:t xml:space="preserve">state or territory legislation and regulations relating to </w:t>
      </w:r>
      <w:r w:rsidRPr="00EE26F6">
        <w:t xml:space="preserve">the practice of veterinary science, work health and safety and animal welfare in emergency response environments. </w:t>
      </w:r>
    </w:p>
    <w:p w:rsidR="00000000" w:rsidRPr="00EE26F6" w:rsidP="00EE26F6">
      <w:pPr>
        <w:pStyle w:val="AllowPageBreak"/>
      </w:pPr>
    </w:p>
    <w:p w:rsidR="00000000" w:rsidRPr="00EE26F6" w:rsidP="00EE26F6">
      <w:pPr>
        <w:pStyle w:val="Heading1"/>
      </w:pPr>
      <w:bookmarkStart w:id="4" w:name="O_1180661"/>
      <w:bookmarkEnd w:id="4"/>
      <w:r w:rsidRPr="00EE26F6">
        <w:t>Assessment Conditions</w:t>
      </w:r>
    </w:p>
    <w:p w:rsidR="00000000" w:rsidRPr="00EE26F6" w:rsidP="00CD56AF">
      <w:pPr>
        <w:pStyle w:val="BodyText"/>
      </w:pPr>
      <w:r w:rsidRPr="00EE26F6">
        <w:t xml:space="preserve">Assessment of the skills in this unit of competency must take place under the following conditions: </w:t>
      </w:r>
    </w:p>
    <w:p w:rsidR="00000000" w:rsidRPr="00EE26F6" w:rsidP="00EE26F6">
      <w:pPr>
        <w:pStyle w:val="ListBullet"/>
      </w:pPr>
      <w:r w:rsidRPr="00EE26F6">
        <w:t xml:space="preserve">physical conditions: </w:t>
      </w:r>
    </w:p>
    <w:p w:rsidR="00000000" w:rsidRPr="00EE26F6" w:rsidP="00EE26F6">
      <w:pPr>
        <w:pStyle w:val="ListBullet2"/>
      </w:pPr>
      <w:r w:rsidRPr="00EE26F6">
        <w:t xml:space="preserve">in the workplace or an environment that accurately reflects emergency veterinary care practice or hospital where emergency patients are received </w:t>
      </w:r>
    </w:p>
    <w:p w:rsidR="00000000" w:rsidRPr="00EE26F6" w:rsidP="00EE26F6">
      <w:pPr>
        <w:pStyle w:val="ListBullet"/>
      </w:pPr>
      <w:r w:rsidRPr="00EE26F6">
        <w:t xml:space="preserve">resources, equipment and materials: </w:t>
      </w:r>
    </w:p>
    <w:p w:rsidR="00000000" w:rsidRPr="00EE26F6" w:rsidP="00EE26F6">
      <w:pPr>
        <w:pStyle w:val="ListBullet2"/>
      </w:pPr>
      <w:r w:rsidRPr="00EE26F6">
        <w:t xml:space="preserve">a range of real animals </w:t>
      </w:r>
    </w:p>
    <w:p w:rsidR="00000000" w:rsidRPr="00EE26F6" w:rsidP="00EE26F6">
      <w:pPr>
        <w:pStyle w:val="ListBullet2"/>
      </w:pPr>
      <w:r w:rsidRPr="00EE26F6">
        <w:t>spec</w:t>
      </w:r>
      <w:r w:rsidRPr="00EE26F6">
        <w:t xml:space="preserve">ialised equipment, instruments and resources typically available for in a veterinary practice where emergency patients are received </w:t>
      </w:r>
    </w:p>
    <w:p w:rsidR="00000000" w:rsidRPr="00EE26F6" w:rsidP="00EE26F6">
      <w:pPr>
        <w:pStyle w:val="ListBullet"/>
      </w:pPr>
      <w:r w:rsidRPr="00EE26F6">
        <w:t xml:space="preserve">specifications: </w:t>
      </w:r>
    </w:p>
    <w:p w:rsidR="00000000" w:rsidRPr="00EE26F6" w:rsidP="00EE26F6">
      <w:pPr>
        <w:pStyle w:val="ListBullet2"/>
      </w:pPr>
      <w:r w:rsidRPr="00EE26F6">
        <w:t xml:space="preserve">practice policies and procedures for emergencies </w:t>
      </w:r>
    </w:p>
    <w:p w:rsidR="00000000" w:rsidRPr="00EE26F6" w:rsidP="00EE26F6">
      <w:pPr>
        <w:pStyle w:val="ListBullet2"/>
      </w:pPr>
      <w:r w:rsidRPr="00EE26F6">
        <w:t>access to organisational policies and procedures, curr</w:t>
      </w:r>
      <w:r w:rsidRPr="00EE26F6">
        <w:t xml:space="preserve">ent legislation, regulations and relevant codes of practice </w:t>
      </w:r>
    </w:p>
    <w:p w:rsidR="00000000" w:rsidRPr="00EE26F6" w:rsidP="00EE26F6">
      <w:pPr>
        <w:pStyle w:val="ListBullet"/>
      </w:pPr>
      <w:r w:rsidRPr="00EE26F6">
        <w:t xml:space="preserve">relationships (internal and/or external): </w:t>
      </w:r>
    </w:p>
    <w:p w:rsidR="00000000" w:rsidRPr="00EE26F6" w:rsidP="00EE26F6">
      <w:pPr>
        <w:pStyle w:val="ListBullet2"/>
      </w:pPr>
      <w:r w:rsidRPr="00EE26F6">
        <w:t xml:space="preserve">interactions with a workplace team </w:t>
      </w:r>
    </w:p>
    <w:p w:rsidR="00000000" w:rsidRPr="00EE26F6" w:rsidP="00EE26F6">
      <w:pPr>
        <w:pStyle w:val="ListBullet2"/>
      </w:pPr>
      <w:r w:rsidRPr="00EE26F6">
        <w:t>interactions with a registered veterinarian who regularly performs emergency and specialised critical care procedu</w:t>
      </w:r>
      <w:r w:rsidRPr="00EE26F6">
        <w:t xml:space="preserve">res. </w:t>
      </w:r>
    </w:p>
    <w:p w:rsidR="00000000" w:rsidRPr="00EE26F6" w:rsidP="00CD56AF">
      <w:pPr>
        <w:pStyle w:val="BodyText"/>
      </w:pPr>
      <w:r w:rsidRPr="00EE26F6">
        <w:t xml:space="preserve">Assessors of this unit must satisfy the requirements for assessors in applicable vocational education and training legislation, frameworks and/or standards. </w:t>
      </w:r>
    </w:p>
    <w:p w:rsidR="00000000" w:rsidRPr="00EE26F6" w:rsidP="00EE26F6">
      <w:pPr>
        <w:pStyle w:val="Heading1"/>
      </w:pPr>
      <w:bookmarkStart w:id="5" w:name="O_1180674"/>
      <w:bookmarkEnd w:id="5"/>
      <w:r w:rsidRPr="00EE26F6">
        <w:t>Links</w:t>
      </w:r>
    </w:p>
    <w:p w:rsidR="00000000" w:rsidRPr="00EE26F6" w:rsidP="00CD56AF">
      <w:pPr>
        <w:pStyle w:val="BodyText"/>
      </w:pPr>
      <w:r w:rsidRPr="00EE26F6">
        <w:t>Companion Volumes, including Implementation Guides, are available a</w:t>
      </w:r>
      <w:r w:rsidRPr="00EE26F6">
        <w:t xml:space="preserve">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878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E26F6" w:rsidP="00EE26F6"/>
    <w:sectPr w:rsidSect="00EE2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F6" w:rsidRPr="00CD56AF" w:rsidP="00CD5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AF" w:rsidP="00EE2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6AF" w:rsidP="00EE2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56AF" w:rsidP="00EE2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6F6" w:rsidRPr="00CD56AF" w:rsidP="00CD5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AF" w:rsidRPr="002D2AF8" w:rsidP="00EE2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ACMVET505 Prepare for veterinary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D56AF" w:rsidP="00EE2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6D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306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0B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6F6"/>
  </w:style>
  <w:style w:type="character" w:customStyle="1" w:styleId="Heading1Char">
    <w:name w:val="Heading 1 Char"/>
    <w:basedOn w:val="DefaultParagraphFont"/>
    <w:link w:val="Heading1"/>
    <w:rsid w:val="00EE2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6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2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26F6"/>
    <w:rPr>
      <w:b/>
    </w:rPr>
  </w:style>
  <w:style w:type="character" w:customStyle="1" w:styleId="Heading2Char">
    <w:name w:val="Heading 2 Char"/>
    <w:basedOn w:val="DefaultParagraphFont"/>
    <w:link w:val="Heading2"/>
    <w:rsid w:val="00EE2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6F6"/>
    <w:rPr>
      <w:b/>
      <w:spacing w:val="0"/>
    </w:rPr>
  </w:style>
  <w:style w:type="paragraph" w:customStyle="1" w:styleId="SuperTitle">
    <w:name w:val="SuperTitle"/>
    <w:basedOn w:val="Title"/>
    <w:rsid w:val="00EE2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6F6"/>
    <w:rPr>
      <w:i/>
    </w:rPr>
  </w:style>
  <w:style w:type="paragraph" w:styleId="Caption">
    <w:name w:val="caption"/>
    <w:basedOn w:val="BodyText"/>
    <w:next w:val="Normal"/>
    <w:qFormat/>
    <w:rsid w:val="00EE2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6F6"/>
  </w:style>
  <w:style w:type="paragraph" w:styleId="TableofFigures">
    <w:name w:val="table of figures"/>
    <w:basedOn w:val="Normal"/>
    <w:next w:val="Normal"/>
    <w:semiHidden/>
    <w:rsid w:val="00EE2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6F6"/>
    <w:rPr>
      <w:rFonts w:ascii="Wingdings" w:hAnsi="Wingdings"/>
    </w:rPr>
  </w:style>
  <w:style w:type="paragraph" w:customStyle="1" w:styleId="TableHeading">
    <w:name w:val="Table Heading"/>
    <w:basedOn w:val="HeadingBase"/>
    <w:rsid w:val="00EE2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6F6"/>
    <w:rPr>
      <w:color w:val="0033CC"/>
      <w:u w:val="none"/>
    </w:rPr>
  </w:style>
  <w:style w:type="paragraph" w:customStyle="1" w:styleId="BodyTextRight">
    <w:name w:val="Body Text Right"/>
    <w:basedOn w:val="BodyText"/>
    <w:rsid w:val="00EE2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6F6"/>
    <w:rPr>
      <w:sz w:val="32"/>
    </w:rPr>
  </w:style>
  <w:style w:type="paragraph" w:customStyle="1" w:styleId="HeadingProcedure">
    <w:name w:val="Heading Procedure"/>
    <w:basedOn w:val="HeadingBase"/>
    <w:next w:val="Normal"/>
    <w:rsid w:val="00EE2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6F6"/>
    <w:pPr>
      <w:spacing w:before="60" w:after="60"/>
    </w:pPr>
  </w:style>
  <w:style w:type="paragraph" w:styleId="ListContinue">
    <w:name w:val="List Continue"/>
    <w:basedOn w:val="List"/>
    <w:rsid w:val="00EE26F6"/>
    <w:pPr>
      <w:ind w:firstLine="0"/>
    </w:pPr>
  </w:style>
  <w:style w:type="paragraph" w:customStyle="1" w:styleId="ListNote">
    <w:name w:val="List Note"/>
    <w:basedOn w:val="List"/>
    <w:rsid w:val="00EE2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6F6"/>
    <w:rPr>
      <w:rFonts w:ascii="Courier New" w:hAnsi="Courier New"/>
    </w:rPr>
  </w:style>
  <w:style w:type="paragraph" w:customStyle="1" w:styleId="NoteBullet">
    <w:name w:val="Note Bullet"/>
    <w:basedOn w:val="Note"/>
    <w:rsid w:val="00EE2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6F6"/>
    <w:rPr>
      <w:b/>
      <w:smallCaps/>
    </w:rPr>
  </w:style>
  <w:style w:type="paragraph" w:customStyle="1" w:styleId="TableListNumber">
    <w:name w:val="Table List Number"/>
    <w:basedOn w:val="ListNumber"/>
    <w:rsid w:val="00EE2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6F6"/>
    <w:pPr>
      <w:numPr>
        <w:numId w:val="9"/>
      </w:numPr>
    </w:pPr>
  </w:style>
  <w:style w:type="paragraph" w:customStyle="1" w:styleId="ListAlpha2">
    <w:name w:val="List Alpha 2"/>
    <w:basedOn w:val="List2"/>
    <w:rsid w:val="00EE26F6"/>
    <w:pPr>
      <w:numPr>
        <w:numId w:val="8"/>
      </w:numPr>
    </w:pPr>
  </w:style>
  <w:style w:type="paragraph" w:styleId="List2">
    <w:name w:val="List 2"/>
    <w:basedOn w:val="BodyText"/>
    <w:rsid w:val="00EE2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6F6"/>
    <w:pPr>
      <w:numPr>
        <w:numId w:val="4"/>
      </w:numPr>
    </w:pPr>
  </w:style>
  <w:style w:type="paragraph" w:styleId="ListContinue2">
    <w:name w:val="List Continue 2"/>
    <w:basedOn w:val="List2"/>
    <w:rsid w:val="00EE26F6"/>
    <w:pPr>
      <w:ind w:firstLine="0"/>
    </w:pPr>
  </w:style>
  <w:style w:type="paragraph" w:styleId="ListContinue3">
    <w:name w:val="List Continue 3"/>
    <w:basedOn w:val="List3"/>
    <w:rsid w:val="00EE26F6"/>
    <w:pPr>
      <w:ind w:left="1021" w:firstLine="0"/>
    </w:pPr>
  </w:style>
  <w:style w:type="paragraph" w:styleId="ListContinue4">
    <w:name w:val="List Continue 4"/>
    <w:basedOn w:val="List4"/>
    <w:rsid w:val="00EE26F6"/>
    <w:pPr>
      <w:ind w:firstLine="0"/>
    </w:pPr>
  </w:style>
  <w:style w:type="paragraph" w:styleId="ListContinue5">
    <w:name w:val="List Continue 5"/>
    <w:basedOn w:val="List5"/>
    <w:rsid w:val="00EE26F6"/>
    <w:pPr>
      <w:ind w:firstLine="0"/>
    </w:pPr>
  </w:style>
  <w:style w:type="paragraph" w:styleId="ListNumber3">
    <w:name w:val="List Number 3"/>
    <w:basedOn w:val="List3"/>
    <w:rsid w:val="00EE26F6"/>
    <w:pPr>
      <w:numPr>
        <w:numId w:val="5"/>
      </w:numPr>
    </w:pPr>
  </w:style>
  <w:style w:type="paragraph" w:styleId="ListNumber4">
    <w:name w:val="List Number 4"/>
    <w:basedOn w:val="List4"/>
    <w:rsid w:val="00EE26F6"/>
    <w:pPr>
      <w:numPr>
        <w:numId w:val="6"/>
      </w:numPr>
    </w:pPr>
  </w:style>
  <w:style w:type="paragraph" w:styleId="ListNumber5">
    <w:name w:val="List Number 5"/>
    <w:basedOn w:val="List5"/>
    <w:rsid w:val="00EE26F6"/>
    <w:pPr>
      <w:numPr>
        <w:numId w:val="7"/>
      </w:numPr>
    </w:pPr>
  </w:style>
  <w:style w:type="paragraph" w:styleId="BlockText">
    <w:name w:val="Block Text"/>
    <w:basedOn w:val="Normal"/>
    <w:rsid w:val="00EE2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6F6"/>
    <w:rPr>
      <w:sz w:val="16"/>
      <w:vertAlign w:val="superscript"/>
    </w:rPr>
  </w:style>
  <w:style w:type="character" w:customStyle="1" w:styleId="Symbols">
    <w:name w:val="Symbols"/>
    <w:basedOn w:val="DefaultParagraphFont"/>
    <w:rsid w:val="00EE26F6"/>
    <w:rPr>
      <w:rFonts w:ascii="Symbol" w:hAnsi="Symbol"/>
    </w:rPr>
  </w:style>
  <w:style w:type="character" w:customStyle="1" w:styleId="MenuOptions">
    <w:name w:val="Menu Options"/>
    <w:basedOn w:val="DefaultParagraphFont"/>
    <w:rsid w:val="00EE2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6F6"/>
    <w:rPr>
      <w:b/>
    </w:rPr>
  </w:style>
  <w:style w:type="character" w:customStyle="1" w:styleId="Underlined">
    <w:name w:val="Underlined"/>
    <w:basedOn w:val="DefaultParagraphFont"/>
    <w:rsid w:val="00EE26F6"/>
    <w:rPr>
      <w:u w:val="single"/>
    </w:rPr>
  </w:style>
  <w:style w:type="paragraph" w:customStyle="1" w:styleId="TableBodyTextRight">
    <w:name w:val="Table Body Text Right"/>
    <w:basedOn w:val="TableBodyText"/>
    <w:rsid w:val="00EE2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6F6"/>
    <w:rPr>
      <w:sz w:val="18"/>
    </w:rPr>
  </w:style>
  <w:style w:type="paragraph" w:customStyle="1" w:styleId="BodySmallRight">
    <w:name w:val="Body Small Right"/>
    <w:basedOn w:val="BodyTextRight"/>
    <w:rsid w:val="00EE26F6"/>
    <w:rPr>
      <w:sz w:val="18"/>
      <w:szCs w:val="18"/>
    </w:rPr>
  </w:style>
  <w:style w:type="paragraph" w:customStyle="1" w:styleId="MarginEdition">
    <w:name w:val="Margin Edition"/>
    <w:basedOn w:val="MarginNote"/>
    <w:rsid w:val="00EE2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6F6"/>
    <w:rPr>
      <w:sz w:val="2"/>
      <w:szCs w:val="2"/>
    </w:rPr>
  </w:style>
  <w:style w:type="character" w:customStyle="1" w:styleId="Small">
    <w:name w:val="Small"/>
    <w:basedOn w:val="DefaultParagraphFont"/>
    <w:rsid w:val="00EE26F6"/>
    <w:rPr>
      <w:sz w:val="16"/>
    </w:rPr>
  </w:style>
  <w:style w:type="paragraph" w:customStyle="1" w:styleId="WideTable">
    <w:name w:val="Wide Table"/>
    <w:basedOn w:val="Normal"/>
    <w:rsid w:val="00EE2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6F6"/>
  </w:style>
  <w:style w:type="paragraph" w:styleId="Quote">
    <w:name w:val="Quote"/>
    <w:basedOn w:val="Heading1"/>
    <w:link w:val="QuoteChar"/>
    <w:qFormat/>
    <w:rsid w:val="00EE2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6F6"/>
    <w:pPr>
      <w:pageBreakBefore/>
    </w:pPr>
  </w:style>
  <w:style w:type="paragraph" w:customStyle="1" w:styleId="Border">
    <w:name w:val="Border"/>
    <w:basedOn w:val="Normal"/>
    <w:qFormat/>
    <w:rsid w:val="00EE2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6F6"/>
    <w:rPr>
      <w:u w:val="single"/>
    </w:rPr>
  </w:style>
  <w:style w:type="character" w:customStyle="1" w:styleId="BoldandItalics">
    <w:name w:val="Bold and Italics"/>
    <w:qFormat/>
    <w:rsid w:val="00EE26F6"/>
    <w:rPr>
      <w:b/>
      <w:i/>
      <w:u w:val="none"/>
    </w:rPr>
  </w:style>
  <w:style w:type="paragraph" w:styleId="BalloonText">
    <w:name w:val="Balloon Text"/>
    <w:basedOn w:val="Normal"/>
    <w:link w:val="BalloonTextChar"/>
    <w:rsid w:val="00EE2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6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5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3529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ACMVET505 Prepare for veterinary emergency response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