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4CE" w:rsidP="008E6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ACMVET501 Manage nursing requirements for specialised surgical procedures</w:t>
      </w:r>
      <w:r>
        <w:fldChar w:fldCharType="end"/>
      </w:r>
    </w:p>
    <w:p w:rsidR="008E64CE" w:rsidP="008E64CE">
      <w:pPr>
        <w:pStyle w:val="Version"/>
        <w:sectPr w:rsidSect="00347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A10" w:rsidP="00347A10">
      <w:pPr>
        <w:pStyle w:val="SuperHeading"/>
      </w:pPr>
      <w:r w:rsidRPr="00347A10">
        <w:t>Assessment Requirements for ACMVET501 Manage nursing requirements for specialised surgical procedures</w:t>
      </w:r>
    </w:p>
    <w:p w:rsidR="00000000" w:rsidRPr="00347A10" w:rsidP="00347A10">
      <w:pPr>
        <w:pStyle w:val="Heading1"/>
      </w:pPr>
      <w:bookmarkStart w:id="1" w:name="O_875017"/>
      <w:bookmarkEnd w:id="1"/>
      <w:r w:rsidRPr="00347A10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347A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A10" w:rsidP="00347A10">
            <w:pPr>
              <w:pStyle w:val="BodyText"/>
            </w:pPr>
            <w:r w:rsidRPr="00347A10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A10">
            <w:pPr>
              <w:pStyle w:val="BodyText"/>
              <w:rPr>
                <w:lang w:val="en-NZ"/>
              </w:rPr>
            </w:pPr>
            <w:r w:rsidRPr="00347A10">
              <w:rPr>
                <w:rStyle w:val="SpecialBold"/>
              </w:rPr>
              <w:t>Comments</w:t>
            </w:r>
          </w:p>
        </w:tc>
      </w:tr>
      <w:tr w:rsidTr="00347A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A10">
            <w:pPr>
              <w:pStyle w:val="BodyText"/>
              <w:rPr>
                <w:lang w:val="en-NZ"/>
              </w:rPr>
            </w:pPr>
            <w:r w:rsidRPr="00347A10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A10" w:rsidP="00347A10">
            <w:pPr>
              <w:pStyle w:val="BodyText"/>
            </w:pPr>
            <w:r w:rsidRPr="00347A10">
              <w:t>This version released with ACM Animal Care and Management Training Package Version 2.0.</w:t>
            </w:r>
          </w:p>
        </w:tc>
      </w:tr>
    </w:tbl>
    <w:p w:rsidR="00000000" w:rsidRPr="00347A10" w:rsidP="00347A10">
      <w:pPr>
        <w:pStyle w:val="BodyText"/>
      </w:pPr>
    </w:p>
    <w:p w:rsidR="00000000" w:rsidRPr="00347A10" w:rsidP="00347A10">
      <w:pPr>
        <w:pStyle w:val="AllowPageBreak"/>
      </w:pPr>
    </w:p>
    <w:p w:rsidR="00000000" w:rsidRPr="00347A10" w:rsidP="00347A10">
      <w:pPr>
        <w:pStyle w:val="Heading1"/>
      </w:pPr>
      <w:bookmarkStart w:id="2" w:name="O_875018"/>
      <w:bookmarkEnd w:id="2"/>
      <w:r w:rsidRPr="00347A10">
        <w:t>Performance Evidence</w:t>
      </w:r>
    </w:p>
    <w:p w:rsidR="00000000" w:rsidRPr="00347A10" w:rsidP="008E64CE">
      <w:pPr>
        <w:pStyle w:val="BodyText"/>
      </w:pPr>
      <w:r w:rsidRPr="00347A10">
        <w:t>An individual demonstrating competency must satisfy all of the elements and performance criteria in this unit.</w:t>
      </w:r>
    </w:p>
    <w:p w:rsidR="00000000" w:rsidRPr="00347A10" w:rsidP="008E64CE">
      <w:pPr>
        <w:pStyle w:val="BodyText"/>
      </w:pPr>
      <w:r w:rsidRPr="00347A10">
        <w:t>There must be evidence that the individual has managed nursing requirements for at least two different sp</w:t>
      </w:r>
      <w:r w:rsidRPr="00347A10">
        <w:t>ecialised surgical procedures covering two species, and for each procedure has:</w:t>
      </w:r>
    </w:p>
    <w:p w:rsidR="00000000" w:rsidRPr="00347A10" w:rsidP="00347A10">
      <w:pPr>
        <w:pStyle w:val="ListBullet"/>
      </w:pPr>
      <w:r w:rsidRPr="00347A10">
        <w:t>evaluated pain prior to sedation and anaesthetic choice under supervision of a veterinary surgeon</w:t>
      </w:r>
    </w:p>
    <w:p w:rsidR="00000000" w:rsidRPr="00347A10" w:rsidP="00347A10">
      <w:pPr>
        <w:pStyle w:val="ListBullet"/>
      </w:pPr>
      <w:r w:rsidRPr="00347A10">
        <w:t>monitored:</w:t>
      </w:r>
    </w:p>
    <w:p w:rsidR="00000000" w:rsidRPr="00347A10" w:rsidP="00347A10">
      <w:pPr>
        <w:pStyle w:val="ListBullet2"/>
      </w:pPr>
      <w:r w:rsidRPr="00347A10">
        <w:t>fluid therapy plan under supervision of a surgeon</w:t>
      </w:r>
    </w:p>
    <w:p w:rsidR="00000000" w:rsidRPr="00347A10" w:rsidP="00347A10">
      <w:pPr>
        <w:pStyle w:val="ListBullet2"/>
      </w:pPr>
      <w:r w:rsidRPr="00347A10">
        <w:t>mucous membrane colour</w:t>
      </w:r>
    </w:p>
    <w:p w:rsidR="00000000" w:rsidRPr="00347A10" w:rsidP="00347A10">
      <w:pPr>
        <w:pStyle w:val="ListBullet2"/>
      </w:pPr>
      <w:r w:rsidRPr="00347A10">
        <w:t>heart rate and rhythm</w:t>
      </w:r>
    </w:p>
    <w:p w:rsidR="00000000" w:rsidRPr="00347A10" w:rsidP="00347A10">
      <w:pPr>
        <w:pStyle w:val="ListBullet2"/>
      </w:pPr>
      <w:r w:rsidRPr="00347A10">
        <w:t>pulse rate and quality</w:t>
      </w:r>
    </w:p>
    <w:p w:rsidR="00000000" w:rsidRPr="00347A10" w:rsidP="00347A10">
      <w:pPr>
        <w:pStyle w:val="ListBullet2"/>
      </w:pPr>
      <w:r w:rsidRPr="00347A10">
        <w:t>rectal temperature</w:t>
      </w:r>
    </w:p>
    <w:p w:rsidR="00000000" w:rsidRPr="00347A10" w:rsidP="00347A10">
      <w:pPr>
        <w:pStyle w:val="ListBullet2"/>
      </w:pPr>
      <w:r w:rsidRPr="00347A10">
        <w:t>respiratory rate and effort</w:t>
      </w:r>
    </w:p>
    <w:p w:rsidR="00000000" w:rsidRPr="00347A10" w:rsidP="00347A10">
      <w:pPr>
        <w:pStyle w:val="ListBullet"/>
      </w:pPr>
      <w:r w:rsidRPr="00347A10">
        <w:t>prepared one animal and theatre for specific surgical procedures, including at least two of these procedures:</w:t>
      </w:r>
    </w:p>
    <w:p w:rsidR="00000000" w:rsidRPr="00347A10" w:rsidP="00347A10">
      <w:pPr>
        <w:pStyle w:val="ListBullet2"/>
      </w:pPr>
      <w:r w:rsidRPr="00347A10">
        <w:t>thoracotomy</w:t>
      </w:r>
    </w:p>
    <w:p w:rsidR="00000000" w:rsidRPr="00347A10" w:rsidP="00347A10">
      <w:pPr>
        <w:pStyle w:val="ListBullet2"/>
      </w:pPr>
      <w:r w:rsidRPr="00347A10">
        <w:t>abdominal surgery</w:t>
      </w:r>
      <w:r w:rsidRPr="00347A10">
        <w:t xml:space="preserve"> </w:t>
      </w:r>
    </w:p>
    <w:p w:rsidR="00000000" w:rsidRPr="00347A10" w:rsidP="00347A10">
      <w:pPr>
        <w:pStyle w:val="ListBullet2"/>
      </w:pPr>
      <w:r w:rsidRPr="00347A10">
        <w:t>cystotomy</w:t>
      </w:r>
    </w:p>
    <w:p w:rsidR="00000000" w:rsidRPr="00347A10" w:rsidP="00347A10">
      <w:pPr>
        <w:pStyle w:val="ListBullet2"/>
      </w:pPr>
      <w:r w:rsidRPr="00347A10">
        <w:t xml:space="preserve">spinal surgery </w:t>
      </w:r>
    </w:p>
    <w:p w:rsidR="00000000" w:rsidRPr="00347A10" w:rsidP="00347A10">
      <w:pPr>
        <w:pStyle w:val="ListBullet2"/>
      </w:pPr>
      <w:r w:rsidRPr="00347A10">
        <w:t>orthopaedic surgery</w:t>
      </w:r>
    </w:p>
    <w:p w:rsidR="00000000" w:rsidRPr="00347A10" w:rsidP="00347A10">
      <w:pPr>
        <w:pStyle w:val="ListBullet"/>
      </w:pPr>
      <w:r w:rsidRPr="00347A10">
        <w:t>managed theatre requirements and overseen the cleaning and maintenance requirements of surgical equipment, including at least two of these:</w:t>
      </w:r>
    </w:p>
    <w:p w:rsidR="00000000" w:rsidRPr="00347A10" w:rsidP="00347A10">
      <w:pPr>
        <w:pStyle w:val="ListBullet2"/>
      </w:pPr>
      <w:r w:rsidRPr="00347A10">
        <w:t>endoscope</w:t>
      </w:r>
    </w:p>
    <w:p w:rsidR="00000000" w:rsidRPr="00347A10" w:rsidP="00347A10">
      <w:pPr>
        <w:pStyle w:val="ListBullet2"/>
      </w:pPr>
      <w:r w:rsidRPr="00347A10">
        <w:t>laparoscope</w:t>
      </w:r>
    </w:p>
    <w:p w:rsidR="00000000" w:rsidRPr="00347A10" w:rsidP="00347A10">
      <w:pPr>
        <w:pStyle w:val="ListBullet2"/>
      </w:pPr>
      <w:r w:rsidRPr="00347A10">
        <w:t>arthroscope</w:t>
      </w:r>
    </w:p>
    <w:p w:rsidR="00000000" w:rsidRPr="00347A10" w:rsidP="00347A10">
      <w:pPr>
        <w:pStyle w:val="ListBullet2"/>
      </w:pPr>
      <w:r w:rsidRPr="00347A10">
        <w:t>electrosurgical unit/diathermy</w:t>
      </w:r>
    </w:p>
    <w:p w:rsidR="00000000" w:rsidRPr="00347A10" w:rsidP="00347A10">
      <w:pPr>
        <w:pStyle w:val="ListBullet2"/>
      </w:pPr>
      <w:r w:rsidRPr="00347A10">
        <w:t>ECG</w:t>
      </w:r>
    </w:p>
    <w:p w:rsidR="00000000" w:rsidRPr="00347A10" w:rsidP="00347A10">
      <w:pPr>
        <w:pStyle w:val="ListBullet2"/>
      </w:pPr>
      <w:r w:rsidRPr="00347A10">
        <w:t>ventilator</w:t>
      </w:r>
    </w:p>
    <w:p w:rsidR="00000000" w:rsidRPr="00347A10" w:rsidP="00347A10">
      <w:pPr>
        <w:pStyle w:val="ListBullet2"/>
      </w:pPr>
      <w:r w:rsidRPr="00347A10">
        <w:t>suction equipment</w:t>
      </w:r>
    </w:p>
    <w:p w:rsidR="00000000" w:rsidRPr="00347A10" w:rsidP="00347A10">
      <w:pPr>
        <w:pStyle w:val="ListBullet"/>
      </w:pPr>
      <w:r w:rsidRPr="00347A10">
        <w:t>maintained hygiene and infection control standards to reduce the risk of contamination, infection and cross-infection in surgical, pre-and post-operative contexts</w:t>
      </w:r>
    </w:p>
    <w:p w:rsidR="00000000" w:rsidRPr="00347A10" w:rsidP="00347A10">
      <w:pPr>
        <w:pStyle w:val="ListBullet"/>
      </w:pPr>
      <w:r w:rsidRPr="00347A10">
        <w:t>performed the activities outlined in the performance criter</w:t>
      </w:r>
      <w:r w:rsidRPr="00347A10">
        <w:t>ia of this unit during a period of at least 240 hours of work in a veterinary hospital or veterinary practice where specialist surgical procedures are regularly performed.</w:t>
      </w:r>
    </w:p>
    <w:p w:rsidR="00000000" w:rsidRPr="00347A10" w:rsidP="00347A10">
      <w:pPr>
        <w:pStyle w:val="AllowPageBreak"/>
      </w:pPr>
    </w:p>
    <w:p w:rsidR="00000000" w:rsidRPr="00347A10" w:rsidP="00347A10">
      <w:pPr>
        <w:pStyle w:val="Heading1"/>
      </w:pPr>
      <w:bookmarkStart w:id="3" w:name="O_875019"/>
      <w:bookmarkEnd w:id="3"/>
      <w:r w:rsidRPr="00347A10">
        <w:t>Knowledge Evidence</w:t>
      </w:r>
    </w:p>
    <w:p w:rsidR="00000000" w:rsidRPr="00347A10" w:rsidP="008E64CE">
      <w:pPr>
        <w:pStyle w:val="BodyText"/>
      </w:pPr>
      <w:r w:rsidRPr="00347A10">
        <w:t>An individual must be able to demonstrate the kn</w:t>
      </w:r>
      <w:r w:rsidRPr="00347A10">
        <w:t>owledge required to perform the tasks outlined in the elements and performance criteria of this unit. This includes knowledge of:</w:t>
      </w:r>
    </w:p>
    <w:p w:rsidR="00000000" w:rsidRPr="00347A10" w:rsidP="00347A10">
      <w:pPr>
        <w:pStyle w:val="ListBullet"/>
      </w:pPr>
      <w:r w:rsidRPr="00347A10">
        <w:t>anaesthetic routines and anaesthetic types, including gaseous and injectables</w:t>
      </w:r>
    </w:p>
    <w:p w:rsidR="00000000" w:rsidRPr="00347A10" w:rsidP="00347A10">
      <w:pPr>
        <w:pStyle w:val="ListBullet"/>
      </w:pPr>
      <w:r w:rsidRPr="00347A10">
        <w:t>animal anatomy and physiology related to specia</w:t>
      </w:r>
      <w:r w:rsidRPr="00347A10">
        <w:t>lised surgical procedures</w:t>
      </w:r>
    </w:p>
    <w:p w:rsidR="00000000" w:rsidRPr="00347A10" w:rsidP="00347A10">
      <w:pPr>
        <w:pStyle w:val="ListBullet"/>
      </w:pPr>
      <w:r w:rsidRPr="00347A10">
        <w:t>specialised and anaesthetic surgical equipment and instruments and how to use each one, including:</w:t>
      </w:r>
    </w:p>
    <w:p w:rsidR="00000000" w:rsidRPr="00347A10" w:rsidP="00347A10">
      <w:pPr>
        <w:pStyle w:val="ListBullet2"/>
      </w:pPr>
      <w:r w:rsidRPr="00347A10">
        <w:t>anaesthetic equipment</w:t>
      </w:r>
    </w:p>
    <w:p w:rsidR="00000000" w:rsidRPr="00347A10" w:rsidP="00347A10">
      <w:pPr>
        <w:pStyle w:val="ListBullet2"/>
      </w:pPr>
      <w:r w:rsidRPr="00347A10">
        <w:t>blood pressure monitoring equipment</w:t>
      </w:r>
    </w:p>
    <w:p w:rsidR="00000000" w:rsidRPr="00347A10" w:rsidP="00347A10">
      <w:pPr>
        <w:pStyle w:val="ListBullet2"/>
      </w:pPr>
      <w:r w:rsidRPr="00347A10">
        <w:t>capnographs</w:t>
      </w:r>
    </w:p>
    <w:p w:rsidR="00000000" w:rsidRPr="00347A10" w:rsidP="00347A10">
      <w:pPr>
        <w:pStyle w:val="ListBullet2"/>
      </w:pPr>
      <w:r w:rsidRPr="00347A10">
        <w:t>catheters</w:t>
      </w:r>
    </w:p>
    <w:p w:rsidR="00000000" w:rsidRPr="00347A10" w:rsidP="00347A10">
      <w:pPr>
        <w:pStyle w:val="ListBullet2"/>
      </w:pPr>
      <w:r w:rsidRPr="00347A10">
        <w:t>wound drains</w:t>
      </w:r>
    </w:p>
    <w:p w:rsidR="00000000" w:rsidRPr="00347A10" w:rsidP="00347A10">
      <w:pPr>
        <w:pStyle w:val="ListBullet2"/>
      </w:pPr>
      <w:r w:rsidRPr="00347A10">
        <w:t>electrocardiogram (ECG)</w:t>
      </w:r>
    </w:p>
    <w:p w:rsidR="00000000" w:rsidRPr="00347A10" w:rsidP="00347A10">
      <w:pPr>
        <w:pStyle w:val="ListBullet2"/>
      </w:pPr>
      <w:r w:rsidRPr="00347A10">
        <w:t>electrosurgical units</w:t>
      </w:r>
    </w:p>
    <w:p w:rsidR="00000000" w:rsidRPr="00347A10" w:rsidP="00347A10">
      <w:pPr>
        <w:pStyle w:val="ListBullet2"/>
      </w:pPr>
      <w:r w:rsidRPr="00347A10">
        <w:t>endoscopes</w:t>
      </w:r>
    </w:p>
    <w:p w:rsidR="00000000" w:rsidRPr="00347A10" w:rsidP="00347A10">
      <w:pPr>
        <w:pStyle w:val="ListBullet2"/>
      </w:pPr>
      <w:r w:rsidRPr="00347A10">
        <w:t>fluid therapy pumps</w:t>
      </w:r>
    </w:p>
    <w:p w:rsidR="00000000" w:rsidRPr="00347A10" w:rsidP="00347A10">
      <w:pPr>
        <w:pStyle w:val="ListBullet2"/>
      </w:pPr>
      <w:r w:rsidRPr="00347A10">
        <w:t>heated operating tables</w:t>
      </w:r>
    </w:p>
    <w:p w:rsidR="00000000" w:rsidRPr="00347A10" w:rsidP="00347A10">
      <w:pPr>
        <w:pStyle w:val="ListBullet2"/>
      </w:pPr>
      <w:r w:rsidRPr="00347A10">
        <w:t>laryngoscopes</w:t>
      </w:r>
    </w:p>
    <w:p w:rsidR="00000000" w:rsidRPr="00347A10" w:rsidP="00347A10">
      <w:pPr>
        <w:pStyle w:val="ListBullet2"/>
      </w:pPr>
      <w:r w:rsidRPr="00347A10">
        <w:t>oesophageal stethoscopes</w:t>
      </w:r>
    </w:p>
    <w:p w:rsidR="00000000" w:rsidRPr="00347A10" w:rsidP="00347A10">
      <w:pPr>
        <w:pStyle w:val="ListBullet2"/>
      </w:pPr>
      <w:r w:rsidRPr="00347A10">
        <w:t>orthopaedic equipment including drills and saws</w:t>
      </w:r>
    </w:p>
    <w:p w:rsidR="00000000" w:rsidRPr="00347A10" w:rsidP="00347A10">
      <w:pPr>
        <w:pStyle w:val="ListBullet2"/>
      </w:pPr>
      <w:r w:rsidRPr="00347A10">
        <w:t>pulse oximeters</w:t>
      </w:r>
    </w:p>
    <w:p w:rsidR="00000000" w:rsidRPr="00347A10" w:rsidP="00347A10">
      <w:pPr>
        <w:pStyle w:val="ListBullet2"/>
      </w:pPr>
      <w:r w:rsidRPr="00347A10">
        <w:t>scavenger</w:t>
      </w:r>
    </w:p>
    <w:p w:rsidR="00000000" w:rsidRPr="00347A10" w:rsidP="00347A10">
      <w:pPr>
        <w:pStyle w:val="ListBullet2"/>
      </w:pPr>
      <w:r w:rsidRPr="00347A10">
        <w:t>suction pumps</w:t>
      </w:r>
    </w:p>
    <w:p w:rsidR="00000000" w:rsidRPr="00347A10" w:rsidP="00347A10">
      <w:pPr>
        <w:pStyle w:val="ListBullet2"/>
      </w:pPr>
      <w:r w:rsidRPr="00347A10">
        <w:t>syringe driver</w:t>
      </w:r>
    </w:p>
    <w:p w:rsidR="00000000" w:rsidRPr="00347A10" w:rsidP="00347A10">
      <w:pPr>
        <w:pStyle w:val="ListBullet2"/>
      </w:pPr>
      <w:r w:rsidRPr="00347A10">
        <w:t>ventilators</w:t>
      </w:r>
    </w:p>
    <w:p w:rsidR="00000000" w:rsidRPr="00347A10" w:rsidP="00347A10">
      <w:pPr>
        <w:pStyle w:val="ListBullet"/>
      </w:pPr>
      <w:r w:rsidRPr="00347A10">
        <w:t xml:space="preserve">Australian Standard for </w:t>
      </w:r>
      <w:r w:rsidRPr="00347A10">
        <w:t xml:space="preserve">cleaning, disinfecting and sterilising re-useable medical and surgical instruments and equipment and maintenance of associated environments in health care facilities </w:t>
      </w:r>
    </w:p>
    <w:p w:rsidR="00000000" w:rsidRPr="00347A10" w:rsidP="00347A10">
      <w:pPr>
        <w:pStyle w:val="ListBullet"/>
      </w:pPr>
      <w:r w:rsidRPr="00347A10">
        <w:t>intravenous fluid therapy, radiogr</w:t>
      </w:r>
      <w:r w:rsidRPr="00347A10">
        <w:t>aphic and other imaging routines relating to specialised surgical routines</w:t>
      </w:r>
    </w:p>
    <w:p w:rsidR="00000000" w:rsidRPr="00347A10" w:rsidP="00347A10">
      <w:pPr>
        <w:pStyle w:val="ListBullet"/>
      </w:pPr>
      <w:r w:rsidRPr="00347A10">
        <w:t>pain management and sedation medications and techniques</w:t>
      </w:r>
    </w:p>
    <w:p w:rsidR="00000000" w:rsidRPr="00347A10" w:rsidP="00347A10">
      <w:pPr>
        <w:pStyle w:val="ListBullet"/>
      </w:pPr>
      <w:r w:rsidRPr="00347A10">
        <w:t>how to recognise emergencies</w:t>
      </w:r>
    </w:p>
    <w:p w:rsidR="00000000" w:rsidRPr="00347A10" w:rsidP="00347A10">
      <w:pPr>
        <w:pStyle w:val="ListBullet"/>
      </w:pPr>
      <w:r w:rsidRPr="00347A10">
        <w:t>state or territory legislation and regulations relating to the practice of veterinary science, w</w:t>
      </w:r>
      <w:r w:rsidRPr="00347A10">
        <w:t>ork health and safety and animal welfare relevant to surgical procedures</w:t>
      </w:r>
    </w:p>
    <w:p w:rsidR="00000000" w:rsidRPr="00347A10" w:rsidP="00347A10">
      <w:pPr>
        <w:pStyle w:val="ListBullet"/>
      </w:pPr>
      <w:r w:rsidRPr="00347A10">
        <w:t>state or territory legislation covering the use of therapeutic and controlled substances in surgical procedures and nursing care</w:t>
      </w:r>
    </w:p>
    <w:p w:rsidR="00000000" w:rsidRPr="00347A10" w:rsidP="00347A10">
      <w:pPr>
        <w:pStyle w:val="ListBullet"/>
      </w:pPr>
      <w:r w:rsidRPr="00347A10">
        <w:t xml:space="preserve">processes involved, equipment used and nursing duties </w:t>
      </w:r>
      <w:r w:rsidRPr="00347A10">
        <w:t>in specialised surgical procedures, including thoracotomy, abdominal surgery, cystotomy, spinal surgery and orthopaedic surgery</w:t>
      </w:r>
    </w:p>
    <w:p w:rsidR="00000000" w:rsidRPr="00347A10" w:rsidP="00347A10">
      <w:pPr>
        <w:pStyle w:val="ListBullet"/>
      </w:pPr>
      <w:r w:rsidRPr="00347A10">
        <w:t>specialised surgical nursing theatre routines</w:t>
      </w:r>
    </w:p>
    <w:p w:rsidR="00000000" w:rsidRPr="00347A10" w:rsidP="00347A10">
      <w:pPr>
        <w:pStyle w:val="ListBullet"/>
      </w:pPr>
      <w:r w:rsidRPr="00347A10">
        <w:t>specialised bandages and their use</w:t>
      </w:r>
    </w:p>
    <w:p w:rsidR="00000000" w:rsidRPr="00347A10" w:rsidP="00347A10">
      <w:pPr>
        <w:pStyle w:val="ListBullet"/>
      </w:pPr>
      <w:r w:rsidRPr="00347A10">
        <w:t xml:space="preserve">workplace hygiene standards, disinfectants and </w:t>
      </w:r>
      <w:r w:rsidRPr="00347A10">
        <w:t>sterilisation, cleaning agents, cleaning techniques and cleaning equipment and materials required in pre-and post-surgical procedures.</w:t>
      </w:r>
    </w:p>
    <w:p w:rsidR="00000000" w:rsidRPr="00347A10" w:rsidP="00347A10">
      <w:pPr>
        <w:pStyle w:val="AllowPageBreak"/>
      </w:pPr>
    </w:p>
    <w:p w:rsidR="00000000" w:rsidRPr="00347A10" w:rsidP="00347A10">
      <w:pPr>
        <w:pStyle w:val="Heading1"/>
      </w:pPr>
      <w:bookmarkStart w:id="4" w:name="O_875020"/>
      <w:bookmarkEnd w:id="4"/>
      <w:r w:rsidRPr="00347A10">
        <w:t>Assessment Conditions</w:t>
      </w:r>
    </w:p>
    <w:p w:rsidR="00000000" w:rsidRPr="00347A10" w:rsidP="008E64CE">
      <w:pPr>
        <w:pStyle w:val="BodyText"/>
      </w:pPr>
      <w:r w:rsidRPr="00347A10">
        <w:t>Assessment of skills must take place under the following conditions:</w:t>
      </w:r>
    </w:p>
    <w:p w:rsidR="00000000" w:rsidRPr="00347A10" w:rsidP="00347A10">
      <w:pPr>
        <w:pStyle w:val="ListBullet"/>
      </w:pPr>
      <w:r w:rsidRPr="00347A10">
        <w:t>physical con</w:t>
      </w:r>
      <w:r w:rsidRPr="00347A10">
        <w:t>ditions:</w:t>
      </w:r>
    </w:p>
    <w:p w:rsidR="00000000" w:rsidRPr="00347A10" w:rsidP="00347A10">
      <w:pPr>
        <w:pStyle w:val="ListBullet2"/>
      </w:pPr>
      <w:r w:rsidRPr="00347A10">
        <w:t>in the workplace or an environment that accurately reflects a veterinary hospital or surgery</w:t>
      </w:r>
    </w:p>
    <w:p w:rsidR="00000000" w:rsidRPr="00347A10" w:rsidP="00347A10">
      <w:pPr>
        <w:pStyle w:val="ListBullet"/>
      </w:pPr>
      <w:r w:rsidRPr="00347A10">
        <w:t>resources, equipment and materials:</w:t>
      </w:r>
    </w:p>
    <w:p w:rsidR="00000000" w:rsidRPr="00347A10" w:rsidP="00347A10">
      <w:pPr>
        <w:pStyle w:val="ListBullet2"/>
      </w:pPr>
      <w:r w:rsidRPr="00347A10">
        <w:t>a range of real patients</w:t>
      </w:r>
    </w:p>
    <w:p w:rsidR="00000000" w:rsidRPr="00347A10" w:rsidP="00347A10">
      <w:pPr>
        <w:pStyle w:val="ListBullet2"/>
      </w:pPr>
      <w:r w:rsidRPr="00347A10">
        <w:t>equipment, instruments and resources typically available for veterinary surgery, including specialised equipment used for intra-operative care</w:t>
      </w:r>
    </w:p>
    <w:p w:rsidR="00000000" w:rsidRPr="00347A10" w:rsidP="00347A10">
      <w:pPr>
        <w:pStyle w:val="ListBullet"/>
      </w:pPr>
      <w:r w:rsidRPr="00347A10">
        <w:t>specifications:</w:t>
      </w:r>
    </w:p>
    <w:p w:rsidR="00000000" w:rsidRPr="00347A10" w:rsidP="00347A10">
      <w:pPr>
        <w:pStyle w:val="ListBullet2"/>
      </w:pPr>
      <w:r w:rsidRPr="00347A10">
        <w:t>access to organisational policies and procedures, current legislation, regulations and relevant</w:t>
      </w:r>
      <w:r w:rsidRPr="00347A10">
        <w:t xml:space="preserve"> codes of practice</w:t>
      </w:r>
    </w:p>
    <w:p w:rsidR="00000000" w:rsidRPr="00347A10" w:rsidP="00347A10">
      <w:pPr>
        <w:pStyle w:val="ListBullet"/>
      </w:pPr>
      <w:r w:rsidRPr="00347A10">
        <w:t>relationships (internal and/or external):</w:t>
      </w:r>
    </w:p>
    <w:p w:rsidR="00000000" w:rsidRPr="00347A10" w:rsidP="00347A10">
      <w:pPr>
        <w:pStyle w:val="ListBullet2"/>
      </w:pPr>
      <w:r w:rsidRPr="00347A10">
        <w:t>interactions with a registered veterinarian who is at a minimum a Member of the Australia and New Zealand College of Veterinary Scientists (ANZCVS), and who regularly performs advanced surgical</w:t>
      </w:r>
      <w:r w:rsidRPr="00347A10">
        <w:t xml:space="preserve"> procedures on animals.</w:t>
      </w:r>
    </w:p>
    <w:p w:rsidR="00000000" w:rsidRPr="00347A10" w:rsidP="00347A10">
      <w:pPr>
        <w:pStyle w:val="BodyText"/>
      </w:pPr>
    </w:p>
    <w:p w:rsidR="00000000" w:rsidRPr="00347A10" w:rsidP="008E64CE">
      <w:pPr>
        <w:pStyle w:val="BodyText"/>
      </w:pPr>
      <w:r w:rsidRPr="00347A10">
        <w:t xml:space="preserve">Assessors of this unit must satisfy the requirements for assessors in applicable vocational education and training legislation, frameworks and/or standards. </w:t>
      </w:r>
    </w:p>
    <w:p w:rsidR="00000000" w:rsidRPr="00347A10" w:rsidP="00347A10">
      <w:pPr>
        <w:pStyle w:val="Heading1"/>
      </w:pPr>
      <w:bookmarkStart w:id="5" w:name="O_875023"/>
      <w:bookmarkEnd w:id="5"/>
      <w:r w:rsidRPr="00347A10">
        <w:t>Links</w:t>
      </w:r>
    </w:p>
    <w:p w:rsidR="00000000" w:rsidRPr="00347A10" w:rsidP="008E64CE">
      <w:pPr>
        <w:pStyle w:val="BodyText"/>
      </w:pPr>
      <w:r w:rsidRPr="00347A10">
        <w:t>Companion Volumes, including Implementation Guides</w:t>
      </w:r>
      <w:r w:rsidRPr="00347A10">
        <w:t xml:space="preserve">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157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47A10" w:rsidP="00347A10"/>
    <w:sectPr w:rsidSect="00347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0" w:rsidRPr="008E64CE" w:rsidP="008E6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CE" w:rsidP="00347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4CE" w:rsidP="00347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64CE" w:rsidP="00347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A10" w:rsidRPr="008E64CE" w:rsidP="008E6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CE" w:rsidRPr="002D2AF8" w:rsidP="00347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ACMVET501 Manage nursing requirements for specialised surgical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E64CE" w:rsidP="00347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842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80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E63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A10"/>
  </w:style>
  <w:style w:type="character" w:customStyle="1" w:styleId="Heading1Char">
    <w:name w:val="Heading 1 Char"/>
    <w:basedOn w:val="DefaultParagraphFont"/>
    <w:link w:val="Heading1"/>
    <w:rsid w:val="00347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A10"/>
    <w:rPr>
      <w:b/>
      <w:spacing w:val="0"/>
    </w:rPr>
  </w:style>
  <w:style w:type="paragraph" w:styleId="ListBullet2">
    <w:name w:val="List Bullet 2"/>
    <w:basedOn w:val="List2"/>
    <w:rsid w:val="00347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A10"/>
    <w:rPr>
      <w:i/>
    </w:rPr>
  </w:style>
  <w:style w:type="paragraph" w:styleId="Caption">
    <w:name w:val="caption"/>
    <w:basedOn w:val="BodyText"/>
    <w:next w:val="Normal"/>
    <w:qFormat/>
    <w:rsid w:val="00347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A10"/>
  </w:style>
  <w:style w:type="paragraph" w:styleId="TableofFigures">
    <w:name w:val="table of figures"/>
    <w:basedOn w:val="Normal"/>
    <w:next w:val="Normal"/>
    <w:semiHidden/>
    <w:rsid w:val="00347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A10"/>
    <w:rPr>
      <w:rFonts w:ascii="Wingdings" w:hAnsi="Wingdings"/>
    </w:rPr>
  </w:style>
  <w:style w:type="paragraph" w:customStyle="1" w:styleId="TableHeading">
    <w:name w:val="Table Heading"/>
    <w:basedOn w:val="HeadingBase"/>
    <w:rsid w:val="00347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A10"/>
    <w:rPr>
      <w:color w:val="0033CC"/>
      <w:u w:val="none"/>
    </w:rPr>
  </w:style>
  <w:style w:type="paragraph" w:customStyle="1" w:styleId="BodyTextRight">
    <w:name w:val="Body Text Right"/>
    <w:basedOn w:val="BodyText"/>
    <w:rsid w:val="00347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A10"/>
    <w:rPr>
      <w:sz w:val="32"/>
    </w:rPr>
  </w:style>
  <w:style w:type="paragraph" w:customStyle="1" w:styleId="HeadingProcedure">
    <w:name w:val="Heading Procedure"/>
    <w:basedOn w:val="HeadingBase"/>
    <w:next w:val="Normal"/>
    <w:rsid w:val="00347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A10"/>
    <w:pPr>
      <w:spacing w:before="60" w:after="60"/>
    </w:pPr>
  </w:style>
  <w:style w:type="paragraph" w:styleId="ListContinue">
    <w:name w:val="List Continue"/>
    <w:basedOn w:val="List"/>
    <w:rsid w:val="00347A10"/>
    <w:pPr>
      <w:ind w:firstLine="0"/>
    </w:pPr>
  </w:style>
  <w:style w:type="paragraph" w:customStyle="1" w:styleId="ListNote">
    <w:name w:val="List Note"/>
    <w:basedOn w:val="List"/>
    <w:rsid w:val="00347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A10"/>
    <w:rPr>
      <w:rFonts w:ascii="Courier New" w:hAnsi="Courier New"/>
    </w:rPr>
  </w:style>
  <w:style w:type="paragraph" w:customStyle="1" w:styleId="NoteBullet">
    <w:name w:val="Note Bullet"/>
    <w:basedOn w:val="Note"/>
    <w:rsid w:val="00347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A10"/>
    <w:rPr>
      <w:b/>
      <w:smallCaps/>
    </w:rPr>
  </w:style>
  <w:style w:type="paragraph" w:customStyle="1" w:styleId="TableListNumber">
    <w:name w:val="Table List Number"/>
    <w:basedOn w:val="ListNumber"/>
    <w:rsid w:val="00347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A10"/>
    <w:pPr>
      <w:numPr>
        <w:numId w:val="9"/>
      </w:numPr>
    </w:pPr>
  </w:style>
  <w:style w:type="paragraph" w:customStyle="1" w:styleId="ListAlpha2">
    <w:name w:val="List Alpha 2"/>
    <w:basedOn w:val="List2"/>
    <w:rsid w:val="00347A10"/>
    <w:pPr>
      <w:numPr>
        <w:numId w:val="8"/>
      </w:numPr>
    </w:pPr>
  </w:style>
  <w:style w:type="paragraph" w:styleId="List2">
    <w:name w:val="List 2"/>
    <w:basedOn w:val="BodyText"/>
    <w:rsid w:val="00347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A10"/>
    <w:pPr>
      <w:numPr>
        <w:numId w:val="4"/>
      </w:numPr>
    </w:pPr>
  </w:style>
  <w:style w:type="paragraph" w:styleId="ListContinue2">
    <w:name w:val="List Continue 2"/>
    <w:basedOn w:val="List2"/>
    <w:rsid w:val="00347A10"/>
    <w:pPr>
      <w:ind w:firstLine="0"/>
    </w:pPr>
  </w:style>
  <w:style w:type="paragraph" w:styleId="ListContinue3">
    <w:name w:val="List Continue 3"/>
    <w:basedOn w:val="List3"/>
    <w:rsid w:val="00347A10"/>
    <w:pPr>
      <w:ind w:left="1021" w:firstLine="0"/>
    </w:pPr>
  </w:style>
  <w:style w:type="paragraph" w:styleId="ListContinue4">
    <w:name w:val="List Continue 4"/>
    <w:basedOn w:val="List4"/>
    <w:rsid w:val="00347A10"/>
    <w:pPr>
      <w:ind w:firstLine="0"/>
    </w:pPr>
  </w:style>
  <w:style w:type="paragraph" w:styleId="ListContinue5">
    <w:name w:val="List Continue 5"/>
    <w:basedOn w:val="List5"/>
    <w:rsid w:val="00347A10"/>
    <w:pPr>
      <w:ind w:firstLine="0"/>
    </w:pPr>
  </w:style>
  <w:style w:type="paragraph" w:styleId="ListNumber3">
    <w:name w:val="List Number 3"/>
    <w:basedOn w:val="List3"/>
    <w:rsid w:val="00347A10"/>
    <w:pPr>
      <w:numPr>
        <w:numId w:val="5"/>
      </w:numPr>
    </w:pPr>
  </w:style>
  <w:style w:type="paragraph" w:styleId="ListNumber4">
    <w:name w:val="List Number 4"/>
    <w:basedOn w:val="List4"/>
    <w:rsid w:val="00347A10"/>
    <w:pPr>
      <w:numPr>
        <w:numId w:val="6"/>
      </w:numPr>
    </w:pPr>
  </w:style>
  <w:style w:type="paragraph" w:styleId="ListNumber5">
    <w:name w:val="List Number 5"/>
    <w:basedOn w:val="List5"/>
    <w:rsid w:val="00347A10"/>
    <w:pPr>
      <w:numPr>
        <w:numId w:val="7"/>
      </w:numPr>
    </w:pPr>
  </w:style>
  <w:style w:type="paragraph" w:styleId="BlockText">
    <w:name w:val="Block Text"/>
    <w:basedOn w:val="Normal"/>
    <w:rsid w:val="00347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A10"/>
    <w:rPr>
      <w:sz w:val="16"/>
      <w:vertAlign w:val="superscript"/>
    </w:rPr>
  </w:style>
  <w:style w:type="character" w:customStyle="1" w:styleId="Symbols">
    <w:name w:val="Symbols"/>
    <w:basedOn w:val="DefaultParagraphFont"/>
    <w:rsid w:val="00347A10"/>
    <w:rPr>
      <w:rFonts w:ascii="Symbol" w:hAnsi="Symbol"/>
    </w:rPr>
  </w:style>
  <w:style w:type="character" w:customStyle="1" w:styleId="MenuOptions">
    <w:name w:val="Menu Options"/>
    <w:basedOn w:val="DefaultParagraphFont"/>
    <w:rsid w:val="00347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A10"/>
    <w:rPr>
      <w:b/>
    </w:rPr>
  </w:style>
  <w:style w:type="character" w:customStyle="1" w:styleId="Underlined">
    <w:name w:val="Underlined"/>
    <w:basedOn w:val="DefaultParagraphFont"/>
    <w:rsid w:val="00347A10"/>
    <w:rPr>
      <w:u w:val="single"/>
    </w:rPr>
  </w:style>
  <w:style w:type="paragraph" w:customStyle="1" w:styleId="TableBodyTextRight">
    <w:name w:val="Table Body Text Right"/>
    <w:basedOn w:val="TableBodyText"/>
    <w:rsid w:val="00347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A10"/>
    <w:rPr>
      <w:sz w:val="18"/>
    </w:rPr>
  </w:style>
  <w:style w:type="paragraph" w:customStyle="1" w:styleId="BodySmallRight">
    <w:name w:val="Body Small Right"/>
    <w:basedOn w:val="BodyTextRight"/>
    <w:rsid w:val="00347A10"/>
    <w:rPr>
      <w:sz w:val="18"/>
      <w:szCs w:val="18"/>
    </w:rPr>
  </w:style>
  <w:style w:type="paragraph" w:customStyle="1" w:styleId="MarginEdition">
    <w:name w:val="Margin Edition"/>
    <w:basedOn w:val="MarginNote"/>
    <w:rsid w:val="00347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A10"/>
    <w:rPr>
      <w:sz w:val="2"/>
      <w:szCs w:val="2"/>
    </w:rPr>
  </w:style>
  <w:style w:type="character" w:customStyle="1" w:styleId="Small">
    <w:name w:val="Small"/>
    <w:basedOn w:val="DefaultParagraphFont"/>
    <w:rsid w:val="00347A10"/>
    <w:rPr>
      <w:sz w:val="16"/>
    </w:rPr>
  </w:style>
  <w:style w:type="paragraph" w:customStyle="1" w:styleId="WideTable">
    <w:name w:val="Wide Table"/>
    <w:basedOn w:val="Normal"/>
    <w:rsid w:val="00347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A10"/>
  </w:style>
  <w:style w:type="paragraph" w:styleId="Quote">
    <w:name w:val="Quote"/>
    <w:basedOn w:val="Heading1"/>
    <w:link w:val="QuoteChar"/>
    <w:qFormat/>
    <w:rsid w:val="00347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A10"/>
    <w:pPr>
      <w:pageBreakBefore/>
    </w:pPr>
  </w:style>
  <w:style w:type="paragraph" w:customStyle="1" w:styleId="Border">
    <w:name w:val="Border"/>
    <w:basedOn w:val="Normal"/>
    <w:qFormat/>
    <w:rsid w:val="00347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A10"/>
    <w:rPr>
      <w:u w:val="single"/>
    </w:rPr>
  </w:style>
  <w:style w:type="character" w:customStyle="1" w:styleId="BoldandItalics">
    <w:name w:val="Bold and Italics"/>
    <w:qFormat/>
    <w:rsid w:val="00347A10"/>
    <w:rPr>
      <w:b/>
      <w:i/>
      <w:u w:val="none"/>
    </w:rPr>
  </w:style>
  <w:style w:type="paragraph" w:styleId="BalloonText">
    <w:name w:val="Balloon Text"/>
    <w:basedOn w:val="Normal"/>
    <w:link w:val="BalloonTextChar"/>
    <w:rsid w:val="00347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A10"/>
    <w:pPr>
      <w:spacing w:before="0" w:after="0"/>
    </w:pPr>
  </w:style>
  <w:style w:type="paragraph" w:customStyle="1" w:styleId="BodyTextBold">
    <w:name w:val="Body Text Bold"/>
    <w:basedOn w:val="BodyText"/>
    <w:qFormat/>
    <w:rsid w:val="00347A10"/>
    <w:rPr>
      <w:b/>
    </w:rPr>
  </w:style>
  <w:style w:type="character" w:styleId="Hyperlink">
    <w:name w:val="Hyperlink"/>
    <w:basedOn w:val="DefaultParagraphFont"/>
    <w:uiPriority w:val="99"/>
    <w:unhideWhenUsed/>
    <w:rsid w:val="008E6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4363</Characters>
  <Application>Microsoft Office Word</Application>
  <DocSecurity>0</DocSecurity>
  <Lines>124</Lines>
  <Paragraphs>95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ACMVET501 Manage nursing requirements for specialised surgical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