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A7B" w:rsidP="004D7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ACMVET410 Carry out veterinary dental nursing procedures</w:t>
      </w:r>
      <w:r>
        <w:fldChar w:fldCharType="end"/>
      </w:r>
    </w:p>
    <w:p w:rsidR="004D7A7B" w:rsidP="004D7A7B">
      <w:pPr>
        <w:pStyle w:val="Version"/>
        <w:sectPr w:rsidSect="00272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2E8" w:rsidP="002722E8">
      <w:pPr>
        <w:pStyle w:val="SuperHeading"/>
      </w:pPr>
      <w:r w:rsidRPr="002722E8">
        <w:t>ACMVET410 Carry out veterinary dental nursing procedures</w:t>
      </w:r>
    </w:p>
    <w:p w:rsidR="00000000" w:rsidRPr="002722E8" w:rsidP="002722E8">
      <w:pPr>
        <w:pStyle w:val="Heading1"/>
      </w:pPr>
      <w:bookmarkStart w:id="1" w:name="O_874676"/>
      <w:bookmarkEnd w:id="1"/>
      <w:r w:rsidRPr="002722E8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563"/>
      </w:tblGrid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Release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rPr>
                <w:rStyle w:val="SpecialBold"/>
              </w:rPr>
              <w:t>Comments</w:t>
            </w:r>
          </w:p>
        </w:tc>
      </w:tr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Release 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This version released with ACM Animal Care and Management Training Package Version 2.0</w:t>
            </w:r>
          </w:p>
        </w:tc>
      </w:tr>
    </w:tbl>
    <w:p w:rsidR="00000000" w:rsidRPr="002722E8" w:rsidP="002722E8">
      <w:pPr>
        <w:pStyle w:val="BodyText"/>
      </w:pPr>
    </w:p>
    <w:p w:rsidR="00000000" w:rsidRPr="002722E8" w:rsidP="002722E8">
      <w:pPr>
        <w:pStyle w:val="AllowPageBreak"/>
      </w:pPr>
    </w:p>
    <w:p w:rsidR="00000000" w:rsidRPr="002722E8" w:rsidP="002722E8">
      <w:pPr>
        <w:pStyle w:val="Heading1"/>
      </w:pPr>
      <w:bookmarkStart w:id="2" w:name="O_874677"/>
      <w:bookmarkEnd w:id="2"/>
      <w:r w:rsidRPr="002722E8">
        <w:t>Application</w:t>
      </w:r>
    </w:p>
    <w:p w:rsidR="00000000" w:rsidRPr="002722E8" w:rsidP="004D7A7B">
      <w:pPr>
        <w:pStyle w:val="BodyText"/>
      </w:pPr>
      <w:r w:rsidRPr="002722E8">
        <w:t>This unit describes the skills and knowledge required to perform dental p</w:t>
      </w:r>
      <w:r w:rsidRPr="002722E8">
        <w:t>rophylaxis and assist with simple extractions. Dental prophylaxis involves oral examinations of the conscious and anaesthetised patient, sub- and supra-gingival tooth scaling and polishing, and the subsequent development of a homecare plan, as well as assi</w:t>
      </w:r>
      <w:r w:rsidRPr="002722E8">
        <w:t>sting in the performance of simple dental extractions.</w:t>
      </w:r>
    </w:p>
    <w:p w:rsidR="00000000" w:rsidRPr="002722E8" w:rsidP="004D7A7B">
      <w:pPr>
        <w:pStyle w:val="BodyText"/>
      </w:pPr>
      <w:r w:rsidRPr="002722E8">
        <w:t>Veterinary dental nursing procedures are most often carried out on dogs and cats.</w:t>
      </w:r>
    </w:p>
    <w:p w:rsidR="00000000" w:rsidRPr="002722E8" w:rsidP="004D7A7B">
      <w:pPr>
        <w:pStyle w:val="BodyText"/>
      </w:pPr>
      <w:r w:rsidRPr="002722E8">
        <w:t>The unit applies to veterinary nurses who work independently, under the supervision of a registered veterinarian in a</w:t>
      </w:r>
      <w:r w:rsidRPr="002722E8">
        <w:t xml:space="preserve"> veterinary practice. Veterinary nurses who carry out dental nursing procedures need to hold and apply specialised knowledge of anatomy of the animal oral cavity, including teeth, bone and gums.</w:t>
      </w:r>
    </w:p>
    <w:p w:rsidR="00000000" w:rsidRPr="002722E8" w:rsidP="004D7A7B">
      <w:pPr>
        <w:pStyle w:val="BodyText"/>
      </w:pPr>
      <w:r w:rsidRPr="002722E8">
        <w:t xml:space="preserve">Legislative and regulatory requirements apply to veterinary </w:t>
      </w:r>
      <w:r w:rsidRPr="002722E8">
        <w:t>nurses but vary according to state/territory jurisdictions. Users must check with the relevant regulatory authority before delivery.</w:t>
      </w:r>
    </w:p>
    <w:p w:rsidR="00000000" w:rsidRPr="002722E8" w:rsidP="004D7A7B">
      <w:pPr>
        <w:pStyle w:val="BodyText"/>
      </w:pPr>
      <w:r w:rsidRPr="002722E8">
        <w:t xml:space="preserve">NOTE: The terms </w:t>
      </w:r>
      <w:r>
        <w:t>‘</w:t>
      </w:r>
      <w:r w:rsidRPr="002722E8">
        <w:t>occupational health and safety</w:t>
      </w:r>
      <w:r>
        <w:t>’</w:t>
      </w:r>
      <w:r w:rsidRPr="002722E8">
        <w:t xml:space="preserve"> (OHS) and </w:t>
      </w:r>
      <w:r>
        <w:t>‘</w:t>
      </w:r>
      <w:r w:rsidRPr="002722E8">
        <w:t>work health and safety</w:t>
      </w:r>
      <w:r>
        <w:t>’</w:t>
      </w:r>
      <w:r w:rsidRPr="002722E8">
        <w:t xml:space="preserve"> (WHS) generally have the same meaning </w:t>
      </w:r>
      <w:r w:rsidRPr="002722E8">
        <w:t>in the workplace. In jurisdictions where the national model WHS legislation has not been implemented, RTOs must contextualise the unit of competency by referring to current OHS legislative requirements.</w:t>
      </w:r>
    </w:p>
    <w:p w:rsidR="00000000" w:rsidRPr="002722E8" w:rsidP="002722E8">
      <w:pPr>
        <w:pStyle w:val="Heading1"/>
      </w:pPr>
      <w:bookmarkStart w:id="3" w:name="O_874678"/>
      <w:bookmarkEnd w:id="3"/>
      <w:r w:rsidRPr="002722E8">
        <w:t>Pre-requisite Unit</w:t>
      </w:r>
    </w:p>
    <w:p w:rsidR="00000000" w:rsidRPr="002722E8" w:rsidP="004D7A7B">
      <w:pPr>
        <w:pStyle w:val="BodyText"/>
      </w:pPr>
      <w:r w:rsidRPr="002722E8">
        <w:t>Nil</w:t>
      </w:r>
    </w:p>
    <w:p w:rsidR="00000000" w:rsidRPr="002722E8" w:rsidP="002722E8">
      <w:pPr>
        <w:pStyle w:val="Heading1"/>
      </w:pPr>
      <w:bookmarkStart w:id="4" w:name="O_874680"/>
      <w:bookmarkEnd w:id="4"/>
      <w:r w:rsidRPr="002722E8">
        <w:t>Unit Sector</w:t>
      </w:r>
    </w:p>
    <w:p w:rsidR="00000000" w:rsidRPr="002722E8" w:rsidP="004D7A7B">
      <w:pPr>
        <w:pStyle w:val="BodyText"/>
      </w:pPr>
      <w:r w:rsidRPr="002722E8">
        <w:t>Veterinary Nursing (VET)</w:t>
      </w:r>
    </w:p>
    <w:p w:rsidR="00000000" w:rsidRPr="002722E8" w:rsidP="002722E8">
      <w:pPr>
        <w:pStyle w:val="Heading1"/>
      </w:pPr>
      <w:bookmarkStart w:id="5" w:name="O_874681"/>
      <w:bookmarkEnd w:id="5"/>
      <w:r w:rsidRPr="002722E8">
        <w:t>Elements and Performance Criteria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4"/>
      </w:tblGrid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Element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rPr>
                <w:rStyle w:val="SpecialBold"/>
              </w:rPr>
              <w:t>Performance Criteria</w:t>
            </w:r>
          </w:p>
        </w:tc>
      </w:tr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Emphasis"/>
              </w:rPr>
              <w:t>Elements describe the essential outcomes.</w:t>
            </w:r>
          </w:p>
        </w:tc>
        <w:tc>
          <w:tcPr>
            <w:tcW w:w="66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rPr>
                <w:rStyle w:val="Emphasis"/>
              </w:rPr>
              <w:t>Performance criteria describe the performance needed to demonstrate achievement of the e</w:t>
            </w:r>
            <w:r w:rsidRPr="002722E8">
              <w:rPr>
                <w:rStyle w:val="Emphasis"/>
              </w:rPr>
              <w:t>lement.</w:t>
            </w:r>
          </w:p>
        </w:tc>
      </w:tr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1. Perform oral examination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1.1 Identify anatomy of the oral cavity, including teeth, bone and gingiva as it relates to dental procedures</w:t>
            </w:r>
          </w:p>
          <w:p w:rsidR="00000000" w:rsidRPr="002722E8" w:rsidP="002722E8">
            <w:pPr>
              <w:pStyle w:val="BodyText"/>
            </w:pPr>
            <w:r w:rsidRPr="002722E8">
              <w:t>1.2 Perform extra and intraoral examination of the conscious patient</w:t>
            </w:r>
          </w:p>
          <w:p w:rsidR="00000000" w:rsidRPr="002722E8" w:rsidP="002722E8">
            <w:pPr>
              <w:pStyle w:val="BodyText"/>
            </w:pPr>
            <w:r w:rsidRPr="002722E8">
              <w:t>1.3 Restrain and position patient for examination and anaesthetic induction</w:t>
            </w:r>
          </w:p>
          <w:p w:rsidR="00000000" w:rsidRPr="002722E8" w:rsidP="002722E8">
            <w:pPr>
              <w:pStyle w:val="BodyText"/>
            </w:pPr>
            <w:r w:rsidRPr="002722E8">
              <w:t>1.4 Conduct extra and intraoral examination of the patient under anaesthesia</w:t>
            </w:r>
          </w:p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1.5 Record and report findings to the veterinary surgeon using industry terminology</w:t>
            </w:r>
          </w:p>
        </w:tc>
      </w:tr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2. Complete dental</w:t>
            </w:r>
            <w:r w:rsidRPr="002722E8">
              <w:t xml:space="preserve"> chart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2.1 Record patient details and current home dental care</w:t>
            </w:r>
          </w:p>
          <w:p w:rsidR="00000000" w:rsidRPr="002722E8" w:rsidP="002722E8">
            <w:pPr>
              <w:pStyle w:val="BodyText"/>
            </w:pPr>
            <w:r w:rsidRPr="002722E8">
              <w:t>2.2 Use a recognised dental encoding system</w:t>
            </w:r>
          </w:p>
          <w:p w:rsidR="00000000" w:rsidRPr="002722E8" w:rsidP="002722E8">
            <w:pPr>
              <w:pStyle w:val="BodyText"/>
            </w:pPr>
            <w:r w:rsidRPr="002722E8">
              <w:t>2.3 Record veterinary surgeon’s pre-treatment pathology and treatment plan</w:t>
            </w:r>
          </w:p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2.4 Record post-treatment dentition using industry terminology</w:t>
            </w:r>
          </w:p>
        </w:tc>
      </w:tr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3. Perform</w:t>
            </w:r>
            <w:r w:rsidRPr="002722E8">
              <w:t xml:space="preserve"> dental procedures under veterinary supervision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3.1 Follow safe work practices and wear required personal protective equipment</w:t>
            </w:r>
          </w:p>
          <w:p w:rsidR="00000000" w:rsidRPr="002722E8" w:rsidP="002722E8">
            <w:pPr>
              <w:pStyle w:val="BodyText"/>
            </w:pPr>
            <w:r w:rsidRPr="002722E8">
              <w:t>3.2 Set up the dental station, associated dental equipment and dental table</w:t>
            </w:r>
          </w:p>
          <w:p w:rsidR="00000000" w:rsidRPr="002722E8" w:rsidP="002722E8">
            <w:pPr>
              <w:pStyle w:val="BodyText"/>
            </w:pPr>
            <w:r w:rsidRPr="002722E8">
              <w:t>3.3 Position patient for dental procedure</w:t>
            </w:r>
          </w:p>
          <w:p w:rsidR="00000000" w:rsidRPr="002722E8" w:rsidP="002722E8">
            <w:pPr>
              <w:pStyle w:val="BodyText"/>
            </w:pPr>
            <w:r w:rsidRPr="002722E8">
              <w:t>3.4 Carry o</w:t>
            </w:r>
            <w:r w:rsidRPr="002722E8">
              <w:t>ut routines specific for dental prophylaxis and provide dental equipment to the veterinarian</w:t>
            </w:r>
          </w:p>
          <w:p w:rsidR="00000000" w:rsidRPr="002722E8" w:rsidP="002722E8">
            <w:pPr>
              <w:pStyle w:val="BodyText"/>
            </w:pPr>
            <w:r w:rsidRPr="002722E8">
              <w:t>3.5 Comply with WHS, animal welfare, biosecurity, hazard management and hygiene requirements related to dental prophylaxis and surgical procedures</w:t>
            </w:r>
          </w:p>
          <w:p w:rsidR="00000000" w:rsidRPr="002722E8" w:rsidP="002722E8">
            <w:pPr>
              <w:pStyle w:val="BodyText"/>
            </w:pPr>
            <w:r w:rsidRPr="002722E8">
              <w:t>3.6 Clean and po</w:t>
            </w:r>
            <w:r w:rsidRPr="002722E8">
              <w:t>lish teeth following the Australian Veterinary Association (AVA) Dental Policy and Guidelines</w:t>
            </w:r>
          </w:p>
          <w:p w:rsidR="00000000" w:rsidRPr="002722E8" w:rsidP="002722E8">
            <w:pPr>
              <w:pStyle w:val="BodyText"/>
            </w:pPr>
            <w:r w:rsidRPr="002722E8">
              <w:t>3.7 Assist the veterinarian with simple extractions</w:t>
            </w:r>
          </w:p>
          <w:p w:rsidR="00000000" w:rsidRPr="002722E8" w:rsidP="002722E8">
            <w:pPr>
              <w:pStyle w:val="BodyText"/>
            </w:pPr>
            <w:r w:rsidRPr="002722E8">
              <w:t>3.8 Clean, sharpen and maintain dental instruments and equipment during procedure</w:t>
            </w:r>
          </w:p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 xml:space="preserve">3.9 Document veterinarian’s </w:t>
            </w:r>
            <w:r w:rsidRPr="002722E8">
              <w:t xml:space="preserve">post-operative patient management </w:t>
            </w:r>
            <w:r w:rsidRPr="002722E8">
              <w:t>programs using industry terminology</w:t>
            </w:r>
          </w:p>
        </w:tc>
      </w:tr>
      <w:tr w:rsidTr="004D7A7B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4. Undertake post-dental treatment routines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4.1 Clean, sharpen, maintain and store dental instruments and equipment</w:t>
            </w:r>
          </w:p>
          <w:p w:rsidR="00000000" w:rsidRPr="002722E8" w:rsidP="002722E8">
            <w:pPr>
              <w:pStyle w:val="BodyText"/>
            </w:pPr>
            <w:r w:rsidRPr="002722E8">
              <w:t>4.2 Monitor patient post-operatively for signs of abnormality and pain, and report findings to veterinarian</w:t>
            </w:r>
          </w:p>
          <w:p w:rsidR="00000000" w:rsidRPr="002722E8" w:rsidP="002722E8">
            <w:pPr>
              <w:pStyle w:val="BodyText"/>
            </w:pPr>
            <w:r w:rsidRPr="002722E8">
              <w:t>4.3 Provide post-dental advice to the animal owner according to veterinarian’s instructions</w:t>
            </w:r>
          </w:p>
        </w:tc>
      </w:tr>
    </w:tbl>
    <w:p w:rsidR="00000000" w:rsidRPr="002722E8" w:rsidP="002722E8">
      <w:pPr>
        <w:pStyle w:val="BodyText"/>
      </w:pPr>
    </w:p>
    <w:p w:rsidR="00000000" w:rsidRPr="002722E8" w:rsidP="002722E8">
      <w:pPr>
        <w:pStyle w:val="AllowPageBreak"/>
      </w:pPr>
    </w:p>
    <w:p w:rsidR="00000000" w:rsidRPr="002722E8" w:rsidP="002722E8">
      <w:pPr>
        <w:pStyle w:val="Heading1"/>
      </w:pPr>
      <w:bookmarkStart w:id="6" w:name="O_874682"/>
      <w:bookmarkEnd w:id="6"/>
      <w:r w:rsidRPr="002722E8">
        <w:t>Foundation Skills</w:t>
      </w:r>
    </w:p>
    <w:p w:rsidR="00000000" w:rsidRPr="004D7A7B" w:rsidP="004D7A7B">
      <w:pPr>
        <w:pStyle w:val="BodyText"/>
        <w:rPr>
          <w:i/>
        </w:rPr>
      </w:pPr>
      <w:r w:rsidRPr="004D7A7B">
        <w:rPr>
          <w:rStyle w:val="Emphasis"/>
        </w:rPr>
        <w:t>This section descri</w:t>
      </w:r>
      <w:r w:rsidRPr="004D7A7B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rPr>
                <w:rStyle w:val="SpecialBold"/>
              </w:rPr>
              <w:t>Description</w:t>
            </w:r>
          </w:p>
        </w:tc>
      </w:tr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ListBullet"/>
              <w:rPr>
                <w:lang w:val="en-NZ"/>
              </w:rPr>
            </w:pPr>
            <w:r w:rsidRPr="002722E8">
              <w:t xml:space="preserve">Interpret and follow relevant policies and procedures, </w:t>
            </w:r>
            <w:r w:rsidRPr="002722E8">
              <w:t>and the Australian Veterinary Association Dental Policy and Guidelines</w:t>
            </w:r>
          </w:p>
        </w:tc>
      </w:tr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ListBullet"/>
            </w:pPr>
            <w:r w:rsidRPr="002722E8">
              <w:t>Calculate and record medication dosages</w:t>
            </w:r>
          </w:p>
          <w:p w:rsidR="00000000" w:rsidP="002722E8">
            <w:pPr>
              <w:pStyle w:val="ListBullet"/>
              <w:rPr>
                <w:lang w:val="en-NZ"/>
              </w:rPr>
            </w:pPr>
            <w:r w:rsidRPr="002722E8">
              <w:t>Effectively monitor anaesthesia</w:t>
            </w:r>
          </w:p>
        </w:tc>
      </w:tr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ListBullet"/>
            </w:pPr>
            <w:r w:rsidRPr="002722E8">
              <w:t>Address irregularities and contingencies in the context of the work role</w:t>
            </w:r>
          </w:p>
        </w:tc>
      </w:tr>
    </w:tbl>
    <w:p w:rsidR="00000000" w:rsidRPr="002722E8" w:rsidP="002722E8">
      <w:pPr>
        <w:pStyle w:val="BodyText"/>
      </w:pPr>
    </w:p>
    <w:p w:rsidR="00000000" w:rsidRPr="002722E8" w:rsidP="002722E8">
      <w:pPr>
        <w:pStyle w:val="AllowPageBreak"/>
      </w:pPr>
    </w:p>
    <w:p w:rsidR="00000000" w:rsidRPr="002722E8" w:rsidP="002722E8">
      <w:pPr>
        <w:pStyle w:val="Heading1"/>
      </w:pPr>
      <w:bookmarkStart w:id="7" w:name="O_874684"/>
      <w:bookmarkEnd w:id="7"/>
      <w:r w:rsidRPr="002722E8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2127"/>
        <w:gridCol w:w="2695"/>
        <w:gridCol w:w="1977"/>
      </w:tblGrid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Code and title current version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Code and title previous version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rPr>
                <w:rStyle w:val="SpecialBold"/>
              </w:rPr>
              <w:t>Comments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rPr>
                <w:rStyle w:val="SpecialBold"/>
              </w:rPr>
              <w:t>Equivalence status</w:t>
            </w:r>
          </w:p>
        </w:tc>
      </w:tr>
      <w:tr w:rsidTr="002722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ACMVET410 Carry out veterinary dental nursing procedures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ACMVET410A Carry out veterinary dental nursing procedures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Updated to meet Standards for Training Packages</w:t>
            </w:r>
          </w:p>
          <w:p w:rsidR="00000000" w:rsidRPr="002722E8" w:rsidP="002722E8">
            <w:pPr>
              <w:pStyle w:val="BodyText"/>
            </w:pPr>
            <w:r w:rsidRPr="002722E8">
              <w:t>Minor changes to clarify content</w:t>
            </w:r>
          </w:p>
          <w:p w:rsidR="00000000" w:rsidRPr="002722E8" w:rsidP="002722E8">
            <w:pPr>
              <w:pStyle w:val="BodyText"/>
            </w:pPr>
            <w:r w:rsidRPr="002722E8">
              <w:t>Assessment requirements revised</w:t>
            </w:r>
          </w:p>
          <w:p w:rsidR="00000000" w:rsidP="002722E8">
            <w:pPr>
              <w:pStyle w:val="BodyText"/>
              <w:rPr>
                <w:lang w:val="en-NZ"/>
              </w:rPr>
            </w:pPr>
            <w:r w:rsidRPr="002722E8">
              <w:t>Work placement requirement included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2E8" w:rsidP="002722E8">
            <w:pPr>
              <w:pStyle w:val="BodyText"/>
            </w:pPr>
            <w:r w:rsidRPr="002722E8">
              <w:t>No equivalent unit</w:t>
            </w:r>
          </w:p>
        </w:tc>
      </w:tr>
    </w:tbl>
    <w:p w:rsidR="00000000" w:rsidRPr="002722E8" w:rsidP="002722E8">
      <w:pPr>
        <w:pStyle w:val="BodyText"/>
      </w:pPr>
    </w:p>
    <w:p w:rsidR="00000000" w:rsidRPr="002722E8" w:rsidP="002722E8">
      <w:pPr>
        <w:pStyle w:val="AllowPageBreak"/>
      </w:pPr>
    </w:p>
    <w:p w:rsidR="00000000" w:rsidRPr="002722E8" w:rsidP="002722E8">
      <w:pPr>
        <w:pStyle w:val="Heading1"/>
      </w:pPr>
      <w:bookmarkStart w:id="8" w:name="O_874691"/>
      <w:bookmarkEnd w:id="8"/>
      <w:r w:rsidRPr="002722E8">
        <w:t>Links</w:t>
      </w:r>
    </w:p>
    <w:p w:rsidR="00000000" w:rsidRPr="002722E8" w:rsidP="004D7A7B">
      <w:pPr>
        <w:pStyle w:val="BodyText"/>
      </w:pPr>
      <w:r w:rsidRPr="002722E8">
        <w:t>Companion Volumes, including Implementation Guides, are availab</w:t>
      </w:r>
      <w:r w:rsidRPr="002722E8">
        <w:t xml:space="preserve">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10D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722E8" w:rsidP="002722E8"/>
    <w:sectPr w:rsidSect="00272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E8" w:rsidRPr="004D7A7B" w:rsidP="004D7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7B" w:rsidP="00272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A7B" w:rsidP="00272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7A7B" w:rsidP="00272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2E8" w:rsidRPr="004D7A7B" w:rsidP="004D7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7B" w:rsidRPr="002D2AF8" w:rsidP="00272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ACMVET410 Carry out veterinary dental nursing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D7A7B" w:rsidP="00272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A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9CC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2E8"/>
  </w:style>
  <w:style w:type="character" w:customStyle="1" w:styleId="Heading1Char">
    <w:name w:val="Heading 1 Char"/>
    <w:basedOn w:val="DefaultParagraphFont"/>
    <w:link w:val="Heading1"/>
    <w:rsid w:val="00272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2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2E8"/>
    <w:rPr>
      <w:b/>
      <w:spacing w:val="0"/>
    </w:rPr>
  </w:style>
  <w:style w:type="character" w:styleId="Emphasis">
    <w:name w:val="Emphasis"/>
    <w:basedOn w:val="DefaultParagraphFont"/>
    <w:qFormat/>
    <w:rsid w:val="002722E8"/>
    <w:rPr>
      <w:i/>
    </w:rPr>
  </w:style>
  <w:style w:type="paragraph" w:customStyle="1" w:styleId="SuperHeading">
    <w:name w:val="SuperHeading"/>
    <w:basedOn w:val="Normal"/>
    <w:rsid w:val="00272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2E8"/>
  </w:style>
  <w:style w:type="paragraph" w:styleId="TableofFigures">
    <w:name w:val="table of figures"/>
    <w:basedOn w:val="Normal"/>
    <w:next w:val="Normal"/>
    <w:semiHidden/>
    <w:rsid w:val="00272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2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2E8"/>
    <w:rPr>
      <w:rFonts w:ascii="Wingdings" w:hAnsi="Wingdings"/>
    </w:rPr>
  </w:style>
  <w:style w:type="paragraph" w:customStyle="1" w:styleId="TableHeading">
    <w:name w:val="Table Heading"/>
    <w:basedOn w:val="HeadingBase"/>
    <w:rsid w:val="00272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2E8"/>
    <w:rPr>
      <w:color w:val="0033CC"/>
      <w:u w:val="none"/>
    </w:rPr>
  </w:style>
  <w:style w:type="paragraph" w:customStyle="1" w:styleId="BodyTextRight">
    <w:name w:val="Body Text Right"/>
    <w:basedOn w:val="BodyText"/>
    <w:rsid w:val="00272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2E8"/>
    <w:rPr>
      <w:sz w:val="32"/>
    </w:rPr>
  </w:style>
  <w:style w:type="paragraph" w:customStyle="1" w:styleId="HeadingProcedure">
    <w:name w:val="Heading Procedure"/>
    <w:basedOn w:val="HeadingBase"/>
    <w:next w:val="Normal"/>
    <w:rsid w:val="00272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2E8"/>
    <w:pPr>
      <w:spacing w:before="60" w:after="60"/>
    </w:pPr>
  </w:style>
  <w:style w:type="paragraph" w:styleId="ListContinue">
    <w:name w:val="List Continue"/>
    <w:basedOn w:val="List"/>
    <w:rsid w:val="002722E8"/>
    <w:pPr>
      <w:ind w:firstLine="0"/>
    </w:pPr>
  </w:style>
  <w:style w:type="paragraph" w:customStyle="1" w:styleId="ListNote">
    <w:name w:val="List Note"/>
    <w:basedOn w:val="List"/>
    <w:rsid w:val="00272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2E8"/>
    <w:rPr>
      <w:rFonts w:ascii="Courier New" w:hAnsi="Courier New"/>
    </w:rPr>
  </w:style>
  <w:style w:type="paragraph" w:customStyle="1" w:styleId="NoteBullet">
    <w:name w:val="Note Bullet"/>
    <w:basedOn w:val="Note"/>
    <w:rsid w:val="00272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2E8"/>
    <w:rPr>
      <w:b/>
      <w:smallCaps/>
    </w:rPr>
  </w:style>
  <w:style w:type="paragraph" w:customStyle="1" w:styleId="TableListNumber">
    <w:name w:val="Table List Number"/>
    <w:basedOn w:val="ListNumber"/>
    <w:rsid w:val="00272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2E8"/>
    <w:pPr>
      <w:numPr>
        <w:numId w:val="8"/>
      </w:numPr>
    </w:pPr>
  </w:style>
  <w:style w:type="paragraph" w:customStyle="1" w:styleId="ListAlpha2">
    <w:name w:val="List Alpha 2"/>
    <w:basedOn w:val="List2"/>
    <w:rsid w:val="002722E8"/>
    <w:pPr>
      <w:numPr>
        <w:numId w:val="7"/>
      </w:numPr>
    </w:pPr>
  </w:style>
  <w:style w:type="paragraph" w:styleId="List2">
    <w:name w:val="List 2"/>
    <w:basedOn w:val="BodyText"/>
    <w:rsid w:val="00272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2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2E8"/>
    <w:pPr>
      <w:numPr>
        <w:numId w:val="3"/>
      </w:numPr>
    </w:pPr>
  </w:style>
  <w:style w:type="paragraph" w:styleId="ListContinue2">
    <w:name w:val="List Continue 2"/>
    <w:basedOn w:val="List2"/>
    <w:rsid w:val="002722E8"/>
    <w:pPr>
      <w:ind w:firstLine="0"/>
    </w:pPr>
  </w:style>
  <w:style w:type="paragraph" w:styleId="ListContinue3">
    <w:name w:val="List Continue 3"/>
    <w:basedOn w:val="List3"/>
    <w:rsid w:val="002722E8"/>
    <w:pPr>
      <w:ind w:left="1021" w:firstLine="0"/>
    </w:pPr>
  </w:style>
  <w:style w:type="paragraph" w:styleId="ListContinue4">
    <w:name w:val="List Continue 4"/>
    <w:basedOn w:val="List4"/>
    <w:rsid w:val="002722E8"/>
    <w:pPr>
      <w:ind w:firstLine="0"/>
    </w:pPr>
  </w:style>
  <w:style w:type="paragraph" w:styleId="ListContinue5">
    <w:name w:val="List Continue 5"/>
    <w:basedOn w:val="List5"/>
    <w:rsid w:val="002722E8"/>
    <w:pPr>
      <w:ind w:firstLine="0"/>
    </w:pPr>
  </w:style>
  <w:style w:type="paragraph" w:styleId="ListNumber3">
    <w:name w:val="List Number 3"/>
    <w:basedOn w:val="List3"/>
    <w:rsid w:val="002722E8"/>
    <w:pPr>
      <w:numPr>
        <w:numId w:val="4"/>
      </w:numPr>
    </w:pPr>
  </w:style>
  <w:style w:type="paragraph" w:styleId="ListNumber4">
    <w:name w:val="List Number 4"/>
    <w:basedOn w:val="List4"/>
    <w:rsid w:val="002722E8"/>
    <w:pPr>
      <w:numPr>
        <w:numId w:val="5"/>
      </w:numPr>
    </w:pPr>
  </w:style>
  <w:style w:type="paragraph" w:styleId="ListNumber5">
    <w:name w:val="List Number 5"/>
    <w:basedOn w:val="List5"/>
    <w:rsid w:val="002722E8"/>
    <w:pPr>
      <w:numPr>
        <w:numId w:val="6"/>
      </w:numPr>
    </w:pPr>
  </w:style>
  <w:style w:type="paragraph" w:styleId="BlockText">
    <w:name w:val="Block Text"/>
    <w:basedOn w:val="Normal"/>
    <w:rsid w:val="00272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2E8"/>
    <w:rPr>
      <w:sz w:val="16"/>
      <w:vertAlign w:val="superscript"/>
    </w:rPr>
  </w:style>
  <w:style w:type="character" w:customStyle="1" w:styleId="Symbols">
    <w:name w:val="Symbols"/>
    <w:basedOn w:val="DefaultParagraphFont"/>
    <w:rsid w:val="002722E8"/>
    <w:rPr>
      <w:rFonts w:ascii="Symbol" w:hAnsi="Symbol"/>
    </w:rPr>
  </w:style>
  <w:style w:type="character" w:customStyle="1" w:styleId="MenuOptions">
    <w:name w:val="Menu Options"/>
    <w:basedOn w:val="DefaultParagraphFont"/>
    <w:rsid w:val="00272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2E8"/>
    <w:rPr>
      <w:b/>
    </w:rPr>
  </w:style>
  <w:style w:type="character" w:customStyle="1" w:styleId="Underlined">
    <w:name w:val="Underlined"/>
    <w:basedOn w:val="DefaultParagraphFont"/>
    <w:rsid w:val="002722E8"/>
    <w:rPr>
      <w:u w:val="single"/>
    </w:rPr>
  </w:style>
  <w:style w:type="paragraph" w:customStyle="1" w:styleId="TableBodyTextRight">
    <w:name w:val="Table Body Text Right"/>
    <w:basedOn w:val="TableBodyText"/>
    <w:rsid w:val="00272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2E8"/>
    <w:rPr>
      <w:sz w:val="18"/>
    </w:rPr>
  </w:style>
  <w:style w:type="paragraph" w:customStyle="1" w:styleId="BodySmallRight">
    <w:name w:val="Body Small Right"/>
    <w:basedOn w:val="BodyTextRight"/>
    <w:rsid w:val="002722E8"/>
    <w:rPr>
      <w:sz w:val="18"/>
      <w:szCs w:val="18"/>
    </w:rPr>
  </w:style>
  <w:style w:type="paragraph" w:customStyle="1" w:styleId="MarginEdition">
    <w:name w:val="Margin Edition"/>
    <w:basedOn w:val="MarginNote"/>
    <w:rsid w:val="00272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2E8"/>
    <w:rPr>
      <w:sz w:val="2"/>
      <w:szCs w:val="2"/>
    </w:rPr>
  </w:style>
  <w:style w:type="character" w:customStyle="1" w:styleId="Small">
    <w:name w:val="Small"/>
    <w:basedOn w:val="DefaultParagraphFont"/>
    <w:rsid w:val="002722E8"/>
    <w:rPr>
      <w:sz w:val="16"/>
    </w:rPr>
  </w:style>
  <w:style w:type="paragraph" w:customStyle="1" w:styleId="WideTable">
    <w:name w:val="Wide Table"/>
    <w:basedOn w:val="Normal"/>
    <w:rsid w:val="00272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2E8"/>
  </w:style>
  <w:style w:type="paragraph" w:styleId="Quote">
    <w:name w:val="Quote"/>
    <w:basedOn w:val="Heading1"/>
    <w:link w:val="QuoteChar"/>
    <w:qFormat/>
    <w:rsid w:val="00272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2E8"/>
    <w:pPr>
      <w:pageBreakBefore/>
    </w:pPr>
  </w:style>
  <w:style w:type="paragraph" w:customStyle="1" w:styleId="Border">
    <w:name w:val="Border"/>
    <w:basedOn w:val="Normal"/>
    <w:qFormat/>
    <w:rsid w:val="00272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2E8"/>
    <w:rPr>
      <w:u w:val="single"/>
    </w:rPr>
  </w:style>
  <w:style w:type="character" w:customStyle="1" w:styleId="BoldandItalics">
    <w:name w:val="Bold and Italics"/>
    <w:qFormat/>
    <w:rsid w:val="002722E8"/>
    <w:rPr>
      <w:b/>
      <w:i/>
      <w:u w:val="none"/>
    </w:rPr>
  </w:style>
  <w:style w:type="paragraph" w:styleId="BalloonText">
    <w:name w:val="Balloon Text"/>
    <w:basedOn w:val="Normal"/>
    <w:link w:val="BalloonTextChar"/>
    <w:rsid w:val="00272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2E8"/>
    <w:pPr>
      <w:spacing w:before="0" w:after="0"/>
    </w:pPr>
  </w:style>
  <w:style w:type="paragraph" w:customStyle="1" w:styleId="BodyTextBold">
    <w:name w:val="Body Text Bold"/>
    <w:basedOn w:val="BodyText"/>
    <w:qFormat/>
    <w:rsid w:val="002722E8"/>
    <w:rPr>
      <w:b/>
    </w:rPr>
  </w:style>
  <w:style w:type="character" w:styleId="Hyperlink">
    <w:name w:val="Hyperlink"/>
    <w:basedOn w:val="DefaultParagraphFont"/>
    <w:uiPriority w:val="99"/>
    <w:unhideWhenUsed/>
    <w:rsid w:val="004D7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4323</Characters>
  <Application>Microsoft Office Word</Application>
  <DocSecurity>0</DocSecurity>
  <Lines>154</Lines>
  <Paragraphs>87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ACMVET410 Carry out veterinary dental nursing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