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50E" w:rsidP="00317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ACMVET408 Provide nutritional advice and support for animals</w:t>
      </w:r>
      <w:r>
        <w:fldChar w:fldCharType="end"/>
      </w:r>
    </w:p>
    <w:p w:rsidR="0031750E" w:rsidP="0031750E">
      <w:pPr>
        <w:pStyle w:val="Version"/>
        <w:sectPr w:rsidSect="007A6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65BC" w:rsidP="007A65BC">
      <w:pPr>
        <w:pStyle w:val="SuperHeading"/>
      </w:pPr>
      <w:r w:rsidRPr="007A65BC">
        <w:t>Assessment Requirements for ACMVET408 Provide nutritional advice and support for animals</w:t>
      </w:r>
    </w:p>
    <w:p w:rsidR="00000000" w:rsidRPr="007A65BC" w:rsidP="007A65BC">
      <w:pPr>
        <w:pStyle w:val="Heading1"/>
      </w:pPr>
      <w:bookmarkStart w:id="1" w:name="O_1213660"/>
      <w:bookmarkEnd w:id="1"/>
      <w:r w:rsidRPr="007A65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BC">
            <w:pPr>
              <w:pStyle w:val="BodyTextBold"/>
              <w:rPr>
                <w:lang w:val="en-NZ"/>
              </w:rPr>
            </w:pPr>
            <w:r w:rsidRPr="007A65B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BC">
            <w:pPr>
              <w:pStyle w:val="BodyTextBold"/>
              <w:rPr>
                <w:lang w:val="en-NZ"/>
              </w:rPr>
            </w:pPr>
            <w:r w:rsidRPr="007A65BC">
              <w:t>Comments</w:t>
            </w:r>
          </w:p>
        </w:tc>
      </w:tr>
      <w:tr w:rsidTr="007A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BC">
            <w:pPr>
              <w:pStyle w:val="BodyText"/>
              <w:rPr>
                <w:lang w:val="en-NZ"/>
              </w:rPr>
            </w:pPr>
            <w:r w:rsidRPr="007A65B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BC">
            <w:pPr>
              <w:pStyle w:val="BodyText"/>
              <w:rPr>
                <w:lang w:val="en-NZ"/>
              </w:rPr>
            </w:pPr>
            <w:r w:rsidRPr="007A65BC">
              <w:t>This version released with ACM Animal Care and Management Training Package Version 5.0.</w:t>
            </w:r>
          </w:p>
        </w:tc>
      </w:tr>
      <w:tr w:rsidTr="007A6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65BC">
            <w:pPr>
              <w:pStyle w:val="BodyText"/>
              <w:rPr>
                <w:lang w:val="en-NZ"/>
              </w:rPr>
            </w:pPr>
            <w:r w:rsidRPr="007A65B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65BC" w:rsidP="007A65BC">
            <w:pPr>
              <w:pStyle w:val="BodyText"/>
            </w:pPr>
            <w:r w:rsidRPr="007A65BC">
              <w:t>This version released with ACM Animal Care and Management Training Package Version 2.0.</w:t>
            </w:r>
          </w:p>
        </w:tc>
      </w:tr>
    </w:tbl>
    <w:p w:rsidR="00000000" w:rsidRPr="007A65BC" w:rsidP="007A65BC">
      <w:pPr>
        <w:pStyle w:val="BodyText"/>
      </w:pPr>
    </w:p>
    <w:p w:rsidR="00000000" w:rsidRPr="007A65BC" w:rsidP="007A65BC">
      <w:pPr>
        <w:pStyle w:val="AllowPageBreak"/>
      </w:pPr>
    </w:p>
    <w:p w:rsidR="00000000" w:rsidRPr="007A65BC" w:rsidP="007A65BC">
      <w:pPr>
        <w:pStyle w:val="Heading1"/>
      </w:pPr>
      <w:bookmarkStart w:id="2" w:name="O_1213659"/>
      <w:bookmarkEnd w:id="2"/>
      <w:r w:rsidRPr="007A65BC">
        <w:t>Performance Evidence</w:t>
      </w:r>
    </w:p>
    <w:p w:rsidR="00000000" w:rsidRPr="007A65BC" w:rsidP="0031750E">
      <w:pPr>
        <w:pStyle w:val="BodyText"/>
      </w:pPr>
      <w:r w:rsidRPr="007A65BC">
        <w:t>An individual demonstrating competency must satisfy all of the elements and performance criteria in this unit.</w:t>
      </w:r>
    </w:p>
    <w:p w:rsidR="00000000" w:rsidRPr="007A65BC" w:rsidP="0031750E">
      <w:pPr>
        <w:pStyle w:val="BodyText"/>
      </w:pPr>
      <w:r w:rsidRPr="007A65BC">
        <w:t>There must be e</w:t>
      </w:r>
      <w:r w:rsidRPr="007A65BC">
        <w:t>vidence that the individual has:</w:t>
      </w:r>
    </w:p>
    <w:p w:rsidR="00000000" w:rsidRPr="007A65BC" w:rsidP="007A65BC">
      <w:pPr>
        <w:pStyle w:val="ListBullet"/>
      </w:pPr>
      <w:r w:rsidRPr="007A65BC">
        <w:t>provided specific nutritional advice for a minimum of two animals from different species, with different medical conditions, including two of the following:</w:t>
      </w:r>
    </w:p>
    <w:p w:rsidR="00000000" w:rsidRPr="007A65BC" w:rsidP="007A65BC">
      <w:pPr>
        <w:pStyle w:val="ListBullet2"/>
      </w:pPr>
      <w:r w:rsidRPr="007A65BC">
        <w:t>renal disease</w:t>
      </w:r>
    </w:p>
    <w:p w:rsidR="00000000" w:rsidRPr="007A65BC" w:rsidP="007A65BC">
      <w:pPr>
        <w:pStyle w:val="ListBullet2"/>
      </w:pPr>
      <w:r w:rsidRPr="007A65BC">
        <w:t>liver disease</w:t>
      </w:r>
    </w:p>
    <w:p w:rsidR="00000000" w:rsidRPr="007A65BC" w:rsidP="007A65BC">
      <w:pPr>
        <w:pStyle w:val="ListBullet2"/>
      </w:pPr>
      <w:r w:rsidRPr="007A65BC">
        <w:t>pancreatitis</w:t>
      </w:r>
    </w:p>
    <w:p w:rsidR="00000000" w:rsidRPr="007A65BC" w:rsidP="007A65BC">
      <w:pPr>
        <w:pStyle w:val="ListBullet2"/>
      </w:pPr>
      <w:r w:rsidRPr="007A65BC">
        <w:t>cardiac disease</w:t>
      </w:r>
    </w:p>
    <w:p w:rsidR="00000000" w:rsidRPr="007A65BC" w:rsidP="007A65BC">
      <w:pPr>
        <w:pStyle w:val="ListBullet2"/>
      </w:pPr>
      <w:r w:rsidRPr="007A65BC">
        <w:t>diabetes</w:t>
      </w:r>
    </w:p>
    <w:p w:rsidR="00000000" w:rsidRPr="007A65BC" w:rsidP="007A65BC">
      <w:pPr>
        <w:pStyle w:val="ListBullet2"/>
      </w:pPr>
      <w:r w:rsidRPr="007A65BC">
        <w:t>joint disease</w:t>
      </w:r>
    </w:p>
    <w:p w:rsidR="00000000" w:rsidRPr="007A65BC" w:rsidP="007A65BC">
      <w:pPr>
        <w:pStyle w:val="ListBullet2"/>
      </w:pPr>
      <w:r w:rsidRPr="007A65BC">
        <w:t>obesity</w:t>
      </w:r>
    </w:p>
    <w:p w:rsidR="00000000" w:rsidRPr="007A65BC" w:rsidP="007A65BC">
      <w:pPr>
        <w:pStyle w:val="ListBullet2"/>
      </w:pPr>
      <w:r w:rsidRPr="007A65BC">
        <w:t>urinary tract disease</w:t>
      </w:r>
    </w:p>
    <w:p w:rsidR="00000000" w:rsidRPr="007A65BC" w:rsidP="007A65BC">
      <w:pPr>
        <w:pStyle w:val="ListBullet"/>
      </w:pPr>
      <w:r w:rsidRPr="007A65BC">
        <w:t>fed a minimum of one animal using an assisted feeding method, including one of the following:</w:t>
      </w:r>
    </w:p>
    <w:p w:rsidR="00000000" w:rsidRPr="007A65BC" w:rsidP="007A65BC">
      <w:pPr>
        <w:pStyle w:val="ListBullet2"/>
      </w:pPr>
      <w:r w:rsidRPr="007A65BC">
        <w:t>syringe feeding</w:t>
      </w:r>
    </w:p>
    <w:p w:rsidR="00000000" w:rsidRPr="007A65BC" w:rsidP="007A65BC">
      <w:pPr>
        <w:pStyle w:val="ListBullet2"/>
      </w:pPr>
      <w:r w:rsidRPr="007A65BC">
        <w:t>crop feeding</w:t>
      </w:r>
    </w:p>
    <w:p w:rsidR="00000000" w:rsidRPr="007A65BC" w:rsidP="007A65BC">
      <w:pPr>
        <w:pStyle w:val="ListBullet2"/>
      </w:pPr>
      <w:r w:rsidRPr="007A65BC">
        <w:t>tube feeding</w:t>
      </w:r>
    </w:p>
    <w:p w:rsidR="00000000" w:rsidRPr="007A65BC" w:rsidP="007A65BC">
      <w:pPr>
        <w:pStyle w:val="ListBullet2"/>
      </w:pPr>
      <w:r w:rsidRPr="007A65BC">
        <w:t>bottle feeding</w:t>
      </w:r>
    </w:p>
    <w:p w:rsidR="00000000" w:rsidRPr="007A65BC" w:rsidP="007A65BC">
      <w:pPr>
        <w:pStyle w:val="ListBullet"/>
      </w:pPr>
      <w:r w:rsidRPr="007A65BC">
        <w:t>performed the activities outlined in the performa</w:t>
      </w:r>
      <w:r w:rsidRPr="007A65BC">
        <w:t>nce criteria of this unit during a period of at least 240 hours of work in a veterinary practice.</w:t>
      </w:r>
    </w:p>
    <w:p w:rsidR="00000000" w:rsidRPr="007A65BC" w:rsidP="007A65BC">
      <w:pPr>
        <w:pStyle w:val="AllowPageBreak"/>
      </w:pPr>
    </w:p>
    <w:p w:rsidR="00000000" w:rsidRPr="007A65BC" w:rsidP="007A65BC">
      <w:pPr>
        <w:pStyle w:val="Heading1"/>
      </w:pPr>
      <w:bookmarkStart w:id="3" w:name="O_1213658"/>
      <w:bookmarkEnd w:id="3"/>
      <w:r w:rsidRPr="007A65BC">
        <w:t>Knowledge Evidence</w:t>
      </w:r>
    </w:p>
    <w:p w:rsidR="00000000" w:rsidRPr="007A65BC" w:rsidP="0031750E">
      <w:pPr>
        <w:pStyle w:val="BodyText"/>
      </w:pPr>
      <w:r w:rsidRPr="007A65BC">
        <w:t>An individual must be able to demonstrate the knowledge required to perform the tasks outlined in the elements and performance criteria of this unit. This includes knowledge of:</w:t>
      </w:r>
    </w:p>
    <w:p w:rsidR="00000000" w:rsidRPr="007A65BC" w:rsidP="007A65BC">
      <w:pPr>
        <w:pStyle w:val="ListBullet"/>
      </w:pPr>
      <w:r w:rsidRPr="007A65BC">
        <w:t>animal classifications that influence dietary needs and eating behaviour</w:t>
      </w:r>
    </w:p>
    <w:p w:rsidR="00000000" w:rsidRPr="007A65BC" w:rsidP="007A65BC">
      <w:pPr>
        <w:pStyle w:val="ListBullet"/>
      </w:pPr>
      <w:r w:rsidRPr="007A65BC">
        <w:t>prac</w:t>
      </w:r>
      <w:r w:rsidRPr="007A65BC">
        <w:t>tice policies and procedures related to providing advice</w:t>
      </w:r>
    </w:p>
    <w:p w:rsidR="00000000" w:rsidRPr="007A65BC" w:rsidP="007A65BC">
      <w:pPr>
        <w:pStyle w:val="ListBullet"/>
      </w:pPr>
      <w:r w:rsidRPr="007A65BC">
        <w:t>components of animal digestive systems and feeding behaviours of species serviced by the practice</w:t>
      </w:r>
    </w:p>
    <w:p w:rsidR="00000000" w:rsidRPr="007A65BC" w:rsidP="007A65BC">
      <w:pPr>
        <w:pStyle w:val="ListBullet"/>
      </w:pPr>
      <w:r w:rsidRPr="007A65BC">
        <w:t>behavioural features related to feeding styles and unsuitable responses to diets</w:t>
      </w:r>
    </w:p>
    <w:p w:rsidR="00000000" w:rsidRPr="007A65BC" w:rsidP="007A65BC">
      <w:pPr>
        <w:pStyle w:val="ListBullet"/>
      </w:pPr>
      <w:r w:rsidRPr="007A65BC">
        <w:t>feedstuffs available</w:t>
      </w:r>
      <w:r w:rsidRPr="007A65BC">
        <w:t xml:space="preserve"> and approved in Australia for animals, their availability, cost, shelf life, method of storage, preparation and presentation to animals</w:t>
      </w:r>
    </w:p>
    <w:p w:rsidR="00000000" w:rsidRPr="007A65BC" w:rsidP="007A65BC">
      <w:pPr>
        <w:pStyle w:val="ListBullet"/>
      </w:pPr>
      <w:r w:rsidRPr="007A65BC">
        <w:t>medical and surgical conditions that require specific diets or assisted feeding</w:t>
      </w:r>
    </w:p>
    <w:p w:rsidR="00000000" w:rsidRPr="007A65BC" w:rsidP="007A65BC">
      <w:pPr>
        <w:pStyle w:val="ListBullet"/>
      </w:pPr>
      <w:r w:rsidRPr="007A65BC">
        <w:t>nutrition-related diseases</w:t>
      </w:r>
    </w:p>
    <w:p w:rsidR="00000000" w:rsidRPr="007A65BC" w:rsidP="007A65BC">
      <w:pPr>
        <w:pStyle w:val="ListBullet"/>
      </w:pPr>
      <w:r w:rsidRPr="007A65BC">
        <w:t>protein, car</w:t>
      </w:r>
      <w:r w:rsidRPr="007A65BC">
        <w:t>bohydrate, vitamin and mineral supplement and fibre needs for a range of animal groups</w:t>
      </w:r>
    </w:p>
    <w:p w:rsidR="00000000" w:rsidRPr="007A65BC" w:rsidP="007A65BC">
      <w:pPr>
        <w:pStyle w:val="ListBullet"/>
      </w:pPr>
      <w:r w:rsidRPr="007A65BC">
        <w:t>nutritional requirements and considerations of different species serviced by the practice, including:</w:t>
      </w:r>
    </w:p>
    <w:p w:rsidR="00000000" w:rsidRPr="007A65BC" w:rsidP="007A65BC">
      <w:pPr>
        <w:pStyle w:val="ListBullet2"/>
      </w:pPr>
      <w:r w:rsidRPr="007A65BC">
        <w:t>environmental interactions, including housing and exercise options</w:t>
      </w:r>
    </w:p>
    <w:p w:rsidR="00000000" w:rsidRPr="007A65BC" w:rsidP="007A65BC">
      <w:pPr>
        <w:pStyle w:val="ListBullet2"/>
      </w:pPr>
      <w:r w:rsidRPr="007A65BC">
        <w:t>gestation and lactation</w:t>
      </w:r>
    </w:p>
    <w:p w:rsidR="00000000" w:rsidRPr="007A65BC" w:rsidP="007A65BC">
      <w:pPr>
        <w:pStyle w:val="ListBullet2"/>
      </w:pPr>
      <w:r w:rsidRPr="007A65BC">
        <w:t>life stage (growth, geriatrics, young animal feeding)</w:t>
      </w:r>
    </w:p>
    <w:p w:rsidR="00000000" w:rsidRPr="007A65BC" w:rsidP="007A65BC">
      <w:pPr>
        <w:pStyle w:val="ListBullet2"/>
      </w:pPr>
      <w:r w:rsidRPr="007A65BC">
        <w:t>obesity control</w:t>
      </w:r>
    </w:p>
    <w:p w:rsidR="00000000" w:rsidRPr="007A65BC" w:rsidP="007A65BC">
      <w:pPr>
        <w:pStyle w:val="ListBullet2"/>
      </w:pPr>
      <w:r w:rsidRPr="007A65BC">
        <w:t>surgical or disease rehabilitation</w:t>
      </w:r>
    </w:p>
    <w:p w:rsidR="00000000" w:rsidRPr="007A65BC" w:rsidP="007A65BC">
      <w:pPr>
        <w:pStyle w:val="ListBullet2"/>
      </w:pPr>
      <w:r w:rsidRPr="007A65BC">
        <w:t>working and performance</w:t>
      </w:r>
    </w:p>
    <w:p w:rsidR="00000000" w:rsidRPr="007A65BC" w:rsidP="007A65BC">
      <w:pPr>
        <w:pStyle w:val="ListBullet"/>
      </w:pPr>
      <w:r w:rsidRPr="007A65BC">
        <w:t>sources of nutrients for particular animal classes and groups</w:t>
      </w:r>
    </w:p>
    <w:p w:rsidR="00000000" w:rsidRPr="007A65BC" w:rsidP="007A65BC">
      <w:pPr>
        <w:pStyle w:val="ListBullet"/>
      </w:pPr>
      <w:r w:rsidRPr="007A65BC">
        <w:t>information on:</w:t>
      </w:r>
    </w:p>
    <w:p w:rsidR="00000000" w:rsidRPr="007A65BC" w:rsidP="007A65BC">
      <w:pPr>
        <w:pStyle w:val="ListBullet2"/>
      </w:pPr>
      <w:r w:rsidRPr="007A65BC">
        <w:t>additives</w:t>
      </w:r>
    </w:p>
    <w:p w:rsidR="00000000" w:rsidRPr="007A65BC" w:rsidP="007A65BC">
      <w:pPr>
        <w:pStyle w:val="ListBullet2"/>
      </w:pPr>
      <w:r w:rsidRPr="007A65BC">
        <w:t>maintenance of energy requirements</w:t>
      </w:r>
    </w:p>
    <w:p w:rsidR="00000000" w:rsidRPr="007A65BC" w:rsidP="007A65BC">
      <w:pPr>
        <w:pStyle w:val="ListBullet2"/>
      </w:pPr>
      <w:r w:rsidRPr="007A65BC">
        <w:t>adverse reactions</w:t>
      </w:r>
    </w:p>
    <w:p w:rsidR="00000000" w:rsidRPr="007A65BC" w:rsidP="007A65BC">
      <w:pPr>
        <w:pStyle w:val="ListBullet2"/>
      </w:pPr>
      <w:r w:rsidRPr="007A65BC">
        <w:t>feeding regimes</w:t>
      </w:r>
    </w:p>
    <w:p w:rsidR="00000000" w:rsidRPr="007A65BC" w:rsidP="007A65BC">
      <w:pPr>
        <w:pStyle w:val="ListBullet2"/>
      </w:pPr>
      <w:r w:rsidRPr="007A65BC">
        <w:t>feeding levels</w:t>
      </w:r>
    </w:p>
    <w:p w:rsidR="00000000" w:rsidRPr="007A65BC" w:rsidP="007A65BC">
      <w:pPr>
        <w:pStyle w:val="ListBullet2"/>
      </w:pPr>
      <w:r w:rsidRPr="007A65BC">
        <w:t>lactation and gestation</w:t>
      </w:r>
    </w:p>
    <w:p w:rsidR="00000000" w:rsidRPr="007A65BC" w:rsidP="007A65BC">
      <w:pPr>
        <w:pStyle w:val="ListBullet2"/>
      </w:pPr>
      <w:r w:rsidRPr="007A65BC">
        <w:t>supplements and commercial foods</w:t>
      </w:r>
    </w:p>
    <w:p w:rsidR="00000000" w:rsidRPr="007A65BC" w:rsidP="007A65BC">
      <w:pPr>
        <w:pStyle w:val="ListBullet2"/>
      </w:pPr>
      <w:r w:rsidRPr="007A65BC">
        <w:t>treats</w:t>
      </w:r>
    </w:p>
    <w:p w:rsidR="00000000" w:rsidRPr="007A65BC" w:rsidP="007A65BC">
      <w:pPr>
        <w:pStyle w:val="ListBullet"/>
      </w:pPr>
      <w:r w:rsidRPr="007A65BC">
        <w:t>information on prescribed diets:</w:t>
      </w:r>
    </w:p>
    <w:p w:rsidR="00000000" w:rsidRPr="007A65BC" w:rsidP="007A65BC">
      <w:pPr>
        <w:pStyle w:val="ListBullet2"/>
      </w:pPr>
      <w:r w:rsidRPr="007A65BC">
        <w:t>diets necessary with disease</w:t>
      </w:r>
    </w:p>
    <w:p w:rsidR="00000000" w:rsidRPr="007A65BC" w:rsidP="007A65BC">
      <w:pPr>
        <w:pStyle w:val="ListBullet2"/>
      </w:pPr>
      <w:r w:rsidRPr="007A65BC">
        <w:t>obesity and weight reduction diets</w:t>
      </w:r>
    </w:p>
    <w:p w:rsidR="00000000" w:rsidRPr="007A65BC" w:rsidP="007A65BC">
      <w:pPr>
        <w:pStyle w:val="ListBullet2"/>
      </w:pPr>
      <w:r w:rsidRPr="007A65BC">
        <w:t>life stage diets (young, active or old)</w:t>
      </w:r>
    </w:p>
    <w:p w:rsidR="00000000" w:rsidRPr="007A65BC" w:rsidP="007A65BC">
      <w:pPr>
        <w:pStyle w:val="ListBullet"/>
      </w:pPr>
      <w:r w:rsidRPr="007A65BC">
        <w:t>feeding regimes for conditions, including:</w:t>
      </w:r>
    </w:p>
    <w:p w:rsidR="00000000" w:rsidRPr="007A65BC" w:rsidP="007A65BC">
      <w:pPr>
        <w:pStyle w:val="ListBullet2"/>
      </w:pPr>
      <w:r w:rsidRPr="007A65BC">
        <w:t>anorexia</w:t>
      </w:r>
    </w:p>
    <w:p w:rsidR="00000000" w:rsidRPr="007A65BC" w:rsidP="007A65BC">
      <w:pPr>
        <w:pStyle w:val="ListBullet2"/>
      </w:pPr>
      <w:r w:rsidRPr="007A65BC">
        <w:t>cardiovascular disease</w:t>
      </w:r>
    </w:p>
    <w:p w:rsidR="00000000" w:rsidRPr="007A65BC" w:rsidP="007A65BC">
      <w:pPr>
        <w:pStyle w:val="ListBullet2"/>
      </w:pPr>
      <w:r w:rsidRPr="007A65BC">
        <w:t>diabetes mellitus</w:t>
      </w:r>
    </w:p>
    <w:p w:rsidR="00000000" w:rsidRPr="007A65BC" w:rsidP="007A65BC">
      <w:pPr>
        <w:pStyle w:val="ListBullet2"/>
      </w:pPr>
      <w:r w:rsidRPr="007A65BC">
        <w:t>gastrointestinal tract disorders</w:t>
      </w:r>
    </w:p>
    <w:p w:rsidR="00000000" w:rsidRPr="007A65BC" w:rsidP="007A65BC">
      <w:pPr>
        <w:pStyle w:val="ListBullet2"/>
      </w:pPr>
      <w:r w:rsidRPr="007A65BC">
        <w:t>hospital feeding</w:t>
      </w:r>
    </w:p>
    <w:p w:rsidR="00000000" w:rsidRPr="007A65BC" w:rsidP="007A65BC">
      <w:pPr>
        <w:pStyle w:val="ListBullet2"/>
      </w:pPr>
      <w:r w:rsidRPr="007A65BC">
        <w:t>intensive care</w:t>
      </w:r>
    </w:p>
    <w:p w:rsidR="00000000" w:rsidRPr="007A65BC" w:rsidP="007A65BC">
      <w:pPr>
        <w:pStyle w:val="ListBullet2"/>
      </w:pPr>
      <w:r w:rsidRPr="007A65BC">
        <w:t>malnutrition</w:t>
      </w:r>
    </w:p>
    <w:p w:rsidR="00000000" w:rsidRPr="007A65BC" w:rsidP="007A65BC">
      <w:pPr>
        <w:pStyle w:val="ListBullet2"/>
      </w:pPr>
      <w:r w:rsidRPr="007A65BC">
        <w:t>neoplasia</w:t>
      </w:r>
    </w:p>
    <w:p w:rsidR="00000000" w:rsidRPr="007A65BC" w:rsidP="007A65BC">
      <w:pPr>
        <w:pStyle w:val="ListBullet2"/>
      </w:pPr>
      <w:r w:rsidRPr="007A65BC">
        <w:t>obesity</w:t>
      </w:r>
    </w:p>
    <w:p w:rsidR="00000000" w:rsidRPr="007A65BC" w:rsidP="007A65BC">
      <w:pPr>
        <w:pStyle w:val="ListBullet2"/>
      </w:pPr>
      <w:r w:rsidRPr="007A65BC">
        <w:t>pancreatitis</w:t>
      </w:r>
    </w:p>
    <w:p w:rsidR="00000000" w:rsidRPr="007A65BC" w:rsidP="007A65BC">
      <w:pPr>
        <w:pStyle w:val="ListBullet2"/>
      </w:pPr>
      <w:r w:rsidRPr="007A65BC">
        <w:t>urinary syst</w:t>
      </w:r>
      <w:r w:rsidRPr="007A65BC">
        <w:t>em disease</w:t>
      </w:r>
    </w:p>
    <w:p w:rsidR="00000000" w:rsidRPr="007A65BC" w:rsidP="007A65BC">
      <w:pPr>
        <w:pStyle w:val="ListBullet2"/>
      </w:pPr>
      <w:r w:rsidRPr="007A65BC">
        <w:t>urolithiasis</w:t>
      </w:r>
    </w:p>
    <w:p w:rsidR="00000000" w:rsidRPr="007A65BC" w:rsidP="007A65BC">
      <w:pPr>
        <w:pStyle w:val="ListBullet"/>
      </w:pPr>
      <w:r w:rsidRPr="007A65BC">
        <w:t>the potential causes of poor response to diets and tests used to investigate dietary problems</w:t>
      </w:r>
    </w:p>
    <w:p w:rsidR="00000000" w:rsidRPr="007A65BC" w:rsidP="007A65BC">
      <w:pPr>
        <w:pStyle w:val="ListBullet"/>
      </w:pPr>
      <w:r w:rsidRPr="007A65BC">
        <w:t>the value of home-prepared rations versus commercially-prepared diets</w:t>
      </w:r>
    </w:p>
    <w:p w:rsidR="00000000" w:rsidRPr="007A65BC" w:rsidP="007A65BC">
      <w:pPr>
        <w:pStyle w:val="ListBullet"/>
      </w:pPr>
      <w:r w:rsidRPr="007A65BC">
        <w:t>feeding methods, including:</w:t>
      </w:r>
    </w:p>
    <w:p w:rsidR="00000000" w:rsidRPr="007A65BC" w:rsidP="007A65BC">
      <w:pPr>
        <w:pStyle w:val="ListBullet2"/>
      </w:pPr>
      <w:r w:rsidRPr="007A65BC">
        <w:t>hand feeding</w:t>
      </w:r>
    </w:p>
    <w:p w:rsidR="00000000" w:rsidRPr="007A65BC" w:rsidP="007A65BC">
      <w:pPr>
        <w:pStyle w:val="ListBullet2"/>
      </w:pPr>
      <w:r w:rsidRPr="007A65BC">
        <w:t>syringe feeding</w:t>
      </w:r>
    </w:p>
    <w:p w:rsidR="00000000" w:rsidRPr="007A65BC" w:rsidP="007A65BC">
      <w:pPr>
        <w:pStyle w:val="ListBullet2"/>
      </w:pPr>
      <w:r w:rsidRPr="007A65BC">
        <w:t>crop feeding</w:t>
      </w:r>
    </w:p>
    <w:p w:rsidR="00000000" w:rsidRPr="007A65BC" w:rsidP="007A65BC">
      <w:pPr>
        <w:pStyle w:val="ListBullet2"/>
      </w:pPr>
      <w:r w:rsidRPr="007A65BC">
        <w:t>total parenteral nutrition (TPN)</w:t>
      </w:r>
    </w:p>
    <w:p w:rsidR="00000000" w:rsidRPr="007A65BC" w:rsidP="007A65BC">
      <w:pPr>
        <w:pStyle w:val="ListBullet2"/>
      </w:pPr>
      <w:r w:rsidRPr="007A65BC">
        <w:t>gastrostomy tube</w:t>
      </w:r>
    </w:p>
    <w:p w:rsidR="00000000" w:rsidRPr="007A65BC" w:rsidP="007A65BC">
      <w:pPr>
        <w:pStyle w:val="ListBullet2"/>
      </w:pPr>
      <w:r w:rsidRPr="007A65BC">
        <w:t>Percutaneous Endoscopic Gastronomy (PEG) tube</w:t>
      </w:r>
    </w:p>
    <w:p w:rsidR="00000000" w:rsidRPr="007A65BC" w:rsidP="007A65BC">
      <w:pPr>
        <w:pStyle w:val="ListBullet"/>
      </w:pPr>
      <w:r w:rsidRPr="007A65BC">
        <w:t>procedures maintaining feeding tubes</w:t>
      </w:r>
    </w:p>
    <w:p w:rsidR="00000000" w:rsidRPr="007A65BC" w:rsidP="007A65BC">
      <w:pPr>
        <w:pStyle w:val="ListBullet"/>
      </w:pPr>
      <w:r w:rsidRPr="007A65BC">
        <w:t>appropriate care for a patient being tube fed</w:t>
      </w:r>
    </w:p>
    <w:p w:rsidR="00000000" w:rsidRPr="007A65BC" w:rsidP="007A65BC">
      <w:pPr>
        <w:pStyle w:val="ListBullet"/>
      </w:pPr>
      <w:r w:rsidRPr="007A65BC">
        <w:t>state or territory legislation and regulations relating to work</w:t>
      </w:r>
      <w:r w:rsidRPr="007A65BC">
        <w:t xml:space="preserve"> health and safety and animal welfare</w:t>
      </w:r>
    </w:p>
    <w:p w:rsidR="00000000" w:rsidRPr="007A65BC" w:rsidP="007A65BC">
      <w:pPr>
        <w:pStyle w:val="ListBullet"/>
      </w:pPr>
      <w:r w:rsidRPr="007A65BC">
        <w:t>Veterinary Surgeons’ Act requirements.</w:t>
      </w:r>
    </w:p>
    <w:p w:rsidR="00000000" w:rsidRPr="007A65BC" w:rsidP="007A65BC">
      <w:pPr>
        <w:pStyle w:val="AllowPageBreak"/>
      </w:pPr>
    </w:p>
    <w:p w:rsidR="00000000" w:rsidRPr="007A65BC" w:rsidP="007A65BC">
      <w:pPr>
        <w:pStyle w:val="Heading1"/>
      </w:pPr>
      <w:bookmarkStart w:id="4" w:name="O_1213657"/>
      <w:bookmarkEnd w:id="4"/>
      <w:r w:rsidRPr="007A65BC">
        <w:t>Assessment Conditions</w:t>
      </w:r>
    </w:p>
    <w:p w:rsidR="00000000" w:rsidRPr="007A65BC" w:rsidP="0031750E">
      <w:pPr>
        <w:pStyle w:val="BodyText"/>
      </w:pPr>
      <w:r w:rsidRPr="007A65BC">
        <w:t>Assessment of skills must take place under the following conditions:</w:t>
      </w:r>
    </w:p>
    <w:p w:rsidR="00000000" w:rsidRPr="007A65BC" w:rsidP="007A65BC">
      <w:pPr>
        <w:pStyle w:val="ListBullet"/>
      </w:pPr>
      <w:r w:rsidRPr="007A65BC">
        <w:t>physical conditions:</w:t>
      </w:r>
    </w:p>
    <w:p w:rsidR="00000000" w:rsidRPr="007A65BC" w:rsidP="007A65BC">
      <w:pPr>
        <w:pStyle w:val="ListBullet2"/>
      </w:pPr>
      <w:r w:rsidRPr="007A65BC">
        <w:t>in the workplace or an environment that accurately reflects a veterinary practice or hospital</w:t>
      </w:r>
    </w:p>
    <w:p w:rsidR="00000000" w:rsidRPr="007A65BC" w:rsidP="007A65BC">
      <w:pPr>
        <w:pStyle w:val="ListBullet"/>
      </w:pPr>
      <w:r w:rsidRPr="007A65BC">
        <w:t>resources, equipment and materials:</w:t>
      </w:r>
    </w:p>
    <w:p w:rsidR="00000000" w:rsidRPr="007A65BC" w:rsidP="007A65BC">
      <w:pPr>
        <w:pStyle w:val="ListBullet2"/>
      </w:pPr>
      <w:r w:rsidRPr="007A65BC">
        <w:t>a range of real, live animals</w:t>
      </w:r>
    </w:p>
    <w:p w:rsidR="00000000" w:rsidRPr="007A65BC" w:rsidP="007A65BC">
      <w:pPr>
        <w:pStyle w:val="ListBullet2"/>
      </w:pPr>
      <w:r w:rsidRPr="007A65BC">
        <w:t>equipment and resources typically available in a veterinary practice</w:t>
      </w:r>
    </w:p>
    <w:p w:rsidR="00000000" w:rsidRPr="007A65BC" w:rsidP="007A65BC">
      <w:pPr>
        <w:pStyle w:val="ListBullet"/>
      </w:pPr>
      <w:r w:rsidRPr="007A65BC">
        <w:t>specifications:</w:t>
      </w:r>
    </w:p>
    <w:p w:rsidR="00000000" w:rsidRPr="007A65BC" w:rsidP="007A65BC">
      <w:pPr>
        <w:pStyle w:val="ListBullet2"/>
      </w:pPr>
      <w:r w:rsidRPr="007A65BC">
        <w:t xml:space="preserve">access </w:t>
      </w:r>
      <w:r w:rsidRPr="007A65BC">
        <w:t>to organisational policies and procedures, current legislation, regulations and relevant codes of practice</w:t>
      </w:r>
    </w:p>
    <w:p w:rsidR="00000000" w:rsidRPr="007A65BC" w:rsidP="007A65BC">
      <w:pPr>
        <w:pStyle w:val="ListBullet"/>
      </w:pPr>
      <w:r w:rsidRPr="007A65BC">
        <w:t>relationships (internal and/or external):</w:t>
      </w:r>
    </w:p>
    <w:p w:rsidR="00000000" w:rsidRPr="007A65BC" w:rsidP="007A65BC">
      <w:pPr>
        <w:pStyle w:val="ListBullet2"/>
      </w:pPr>
      <w:r w:rsidRPr="007A65BC">
        <w:t>interactions with a registered veterinarian or minimum of Certificate IV qualified veterinary nurse.</w:t>
      </w:r>
    </w:p>
    <w:p w:rsidR="00000000" w:rsidRPr="007A65BC" w:rsidP="0031750E">
      <w:pPr>
        <w:pStyle w:val="BodyText"/>
      </w:pPr>
      <w:r w:rsidRPr="007A65BC">
        <w:t>Asse</w:t>
      </w:r>
      <w:r w:rsidRPr="007A65BC">
        <w:t>ssors of this unit must satisfy the requirements for assessors in applicable vocational education and training legislation, frameworks and/or standards.</w:t>
      </w:r>
    </w:p>
    <w:p w:rsidR="00000000" w:rsidRPr="007A65BC" w:rsidP="007A65BC">
      <w:pPr>
        <w:pStyle w:val="Heading1"/>
      </w:pPr>
      <w:bookmarkStart w:id="5" w:name="O_1213670"/>
      <w:bookmarkEnd w:id="5"/>
      <w:r w:rsidRPr="007A65BC">
        <w:t>Links</w:t>
      </w:r>
    </w:p>
    <w:p w:rsidR="00000000" w:rsidRPr="007A65BC" w:rsidP="0031750E">
      <w:pPr>
        <w:pStyle w:val="BodyText"/>
      </w:pPr>
      <w:r w:rsidRPr="007A65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9609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A65BC" w:rsidP="007A65BC"/>
    <w:sectPr w:rsidSect="007A65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BC" w:rsidRPr="0031750E" w:rsidP="00317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E" w:rsidP="007A6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50E" w:rsidP="007A6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750E" w:rsidP="007A6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65BC" w:rsidRPr="0031750E" w:rsidP="00317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0E" w:rsidRPr="002D2AF8" w:rsidP="007A6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ACMVET408 Provide nutritional advice and support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1750E" w:rsidP="007A6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765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E9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A4A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6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6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6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6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6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6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6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6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6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6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65BC"/>
  </w:style>
  <w:style w:type="character" w:customStyle="1" w:styleId="Heading1Char">
    <w:name w:val="Heading 1 Char"/>
    <w:basedOn w:val="DefaultParagraphFont"/>
    <w:link w:val="Heading1"/>
    <w:rsid w:val="007A6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6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6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65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65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6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6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65BC"/>
    <w:rPr>
      <w:b/>
    </w:rPr>
  </w:style>
  <w:style w:type="character" w:customStyle="1" w:styleId="Heading2Char">
    <w:name w:val="Heading 2 Char"/>
    <w:basedOn w:val="DefaultParagraphFont"/>
    <w:link w:val="Heading2"/>
    <w:rsid w:val="007A6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6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6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6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6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6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6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6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6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6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6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6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6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6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6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6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6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6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6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6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65BC"/>
    <w:rPr>
      <w:b/>
      <w:spacing w:val="0"/>
    </w:rPr>
  </w:style>
  <w:style w:type="paragraph" w:customStyle="1" w:styleId="SuperTitle">
    <w:name w:val="SuperTitle"/>
    <w:basedOn w:val="Title"/>
    <w:rsid w:val="007A6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6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6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6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6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6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6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6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6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6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6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6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65BC"/>
    <w:rPr>
      <w:i/>
    </w:rPr>
  </w:style>
  <w:style w:type="paragraph" w:styleId="Caption">
    <w:name w:val="caption"/>
    <w:basedOn w:val="BodyText"/>
    <w:next w:val="Normal"/>
    <w:qFormat/>
    <w:rsid w:val="007A6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6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6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65BC"/>
  </w:style>
  <w:style w:type="paragraph" w:styleId="TableofFigures">
    <w:name w:val="table of figures"/>
    <w:basedOn w:val="Normal"/>
    <w:next w:val="Normal"/>
    <w:semiHidden/>
    <w:rsid w:val="007A6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65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65BC"/>
    <w:rPr>
      <w:rFonts w:ascii="Wingdings" w:hAnsi="Wingdings"/>
    </w:rPr>
  </w:style>
  <w:style w:type="paragraph" w:customStyle="1" w:styleId="TableHeading">
    <w:name w:val="Table Heading"/>
    <w:basedOn w:val="HeadingBase"/>
    <w:rsid w:val="007A6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65BC"/>
    <w:rPr>
      <w:color w:val="0033CC"/>
      <w:u w:val="none"/>
    </w:rPr>
  </w:style>
  <w:style w:type="paragraph" w:customStyle="1" w:styleId="BodyTextRight">
    <w:name w:val="Body Text Right"/>
    <w:basedOn w:val="BodyText"/>
    <w:rsid w:val="007A6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6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65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6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6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6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65BC"/>
    <w:rPr>
      <w:sz w:val="32"/>
    </w:rPr>
  </w:style>
  <w:style w:type="paragraph" w:customStyle="1" w:styleId="HeadingProcedure">
    <w:name w:val="Heading Procedure"/>
    <w:basedOn w:val="HeadingBase"/>
    <w:next w:val="Normal"/>
    <w:rsid w:val="007A6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65BC"/>
    <w:pPr>
      <w:spacing w:before="60" w:after="60"/>
    </w:pPr>
  </w:style>
  <w:style w:type="paragraph" w:styleId="ListContinue">
    <w:name w:val="List Continue"/>
    <w:basedOn w:val="List"/>
    <w:rsid w:val="007A65BC"/>
    <w:pPr>
      <w:ind w:firstLine="0"/>
    </w:pPr>
  </w:style>
  <w:style w:type="paragraph" w:customStyle="1" w:styleId="ListNote">
    <w:name w:val="List Note"/>
    <w:basedOn w:val="List"/>
    <w:rsid w:val="007A6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6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6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65BC"/>
    <w:rPr>
      <w:rFonts w:ascii="Courier New" w:hAnsi="Courier New"/>
    </w:rPr>
  </w:style>
  <w:style w:type="paragraph" w:customStyle="1" w:styleId="NoteBullet">
    <w:name w:val="Note Bullet"/>
    <w:basedOn w:val="Note"/>
    <w:rsid w:val="007A6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6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6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6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65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6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6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65BC"/>
    <w:rPr>
      <w:b/>
      <w:smallCaps/>
    </w:rPr>
  </w:style>
  <w:style w:type="paragraph" w:customStyle="1" w:styleId="TableListNumber">
    <w:name w:val="Table List Number"/>
    <w:basedOn w:val="ListNumber"/>
    <w:rsid w:val="007A6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6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65BC"/>
    <w:pPr>
      <w:numPr>
        <w:numId w:val="9"/>
      </w:numPr>
    </w:pPr>
  </w:style>
  <w:style w:type="paragraph" w:customStyle="1" w:styleId="ListAlpha2">
    <w:name w:val="List Alpha 2"/>
    <w:basedOn w:val="List2"/>
    <w:rsid w:val="007A65BC"/>
    <w:pPr>
      <w:numPr>
        <w:numId w:val="8"/>
      </w:numPr>
    </w:pPr>
  </w:style>
  <w:style w:type="paragraph" w:styleId="List2">
    <w:name w:val="List 2"/>
    <w:basedOn w:val="BodyText"/>
    <w:rsid w:val="007A6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6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6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6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65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65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65BC"/>
    <w:pPr>
      <w:numPr>
        <w:numId w:val="4"/>
      </w:numPr>
    </w:pPr>
  </w:style>
  <w:style w:type="paragraph" w:styleId="ListContinue2">
    <w:name w:val="List Continue 2"/>
    <w:basedOn w:val="List2"/>
    <w:rsid w:val="007A65BC"/>
    <w:pPr>
      <w:ind w:firstLine="0"/>
    </w:pPr>
  </w:style>
  <w:style w:type="paragraph" w:styleId="ListContinue3">
    <w:name w:val="List Continue 3"/>
    <w:basedOn w:val="List3"/>
    <w:rsid w:val="007A65BC"/>
    <w:pPr>
      <w:ind w:left="1021" w:firstLine="0"/>
    </w:pPr>
  </w:style>
  <w:style w:type="paragraph" w:styleId="ListContinue4">
    <w:name w:val="List Continue 4"/>
    <w:basedOn w:val="List4"/>
    <w:rsid w:val="007A65BC"/>
    <w:pPr>
      <w:ind w:firstLine="0"/>
    </w:pPr>
  </w:style>
  <w:style w:type="paragraph" w:styleId="ListContinue5">
    <w:name w:val="List Continue 5"/>
    <w:basedOn w:val="List5"/>
    <w:rsid w:val="007A65BC"/>
    <w:pPr>
      <w:ind w:firstLine="0"/>
    </w:pPr>
  </w:style>
  <w:style w:type="paragraph" w:styleId="ListNumber3">
    <w:name w:val="List Number 3"/>
    <w:basedOn w:val="List3"/>
    <w:rsid w:val="007A65BC"/>
    <w:pPr>
      <w:numPr>
        <w:numId w:val="5"/>
      </w:numPr>
    </w:pPr>
  </w:style>
  <w:style w:type="paragraph" w:styleId="ListNumber4">
    <w:name w:val="List Number 4"/>
    <w:basedOn w:val="List4"/>
    <w:rsid w:val="007A65BC"/>
    <w:pPr>
      <w:numPr>
        <w:numId w:val="6"/>
      </w:numPr>
    </w:pPr>
  </w:style>
  <w:style w:type="paragraph" w:styleId="ListNumber5">
    <w:name w:val="List Number 5"/>
    <w:basedOn w:val="List5"/>
    <w:rsid w:val="007A65BC"/>
    <w:pPr>
      <w:numPr>
        <w:numId w:val="7"/>
      </w:numPr>
    </w:pPr>
  </w:style>
  <w:style w:type="paragraph" w:styleId="BlockText">
    <w:name w:val="Block Text"/>
    <w:basedOn w:val="Normal"/>
    <w:rsid w:val="007A6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6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65BC"/>
    <w:rPr>
      <w:sz w:val="16"/>
      <w:vertAlign w:val="superscript"/>
    </w:rPr>
  </w:style>
  <w:style w:type="character" w:customStyle="1" w:styleId="Symbols">
    <w:name w:val="Symbols"/>
    <w:basedOn w:val="DefaultParagraphFont"/>
    <w:rsid w:val="007A65BC"/>
    <w:rPr>
      <w:rFonts w:ascii="Symbol" w:hAnsi="Symbol"/>
    </w:rPr>
  </w:style>
  <w:style w:type="character" w:customStyle="1" w:styleId="MenuOptions">
    <w:name w:val="Menu Options"/>
    <w:basedOn w:val="DefaultParagraphFont"/>
    <w:rsid w:val="007A6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65BC"/>
    <w:rPr>
      <w:b/>
    </w:rPr>
  </w:style>
  <w:style w:type="character" w:customStyle="1" w:styleId="Underlined">
    <w:name w:val="Underlined"/>
    <w:basedOn w:val="DefaultParagraphFont"/>
    <w:rsid w:val="007A65BC"/>
    <w:rPr>
      <w:u w:val="single"/>
    </w:rPr>
  </w:style>
  <w:style w:type="paragraph" w:customStyle="1" w:styleId="TableBodyTextRight">
    <w:name w:val="Table Body Text Right"/>
    <w:basedOn w:val="TableBodyText"/>
    <w:rsid w:val="007A6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65BC"/>
    <w:rPr>
      <w:sz w:val="18"/>
    </w:rPr>
  </w:style>
  <w:style w:type="paragraph" w:customStyle="1" w:styleId="BodySmallRight">
    <w:name w:val="Body Small Right"/>
    <w:basedOn w:val="BodyTextRight"/>
    <w:rsid w:val="007A65BC"/>
    <w:rPr>
      <w:sz w:val="18"/>
      <w:szCs w:val="18"/>
    </w:rPr>
  </w:style>
  <w:style w:type="paragraph" w:customStyle="1" w:styleId="MarginEdition">
    <w:name w:val="Margin Edition"/>
    <w:basedOn w:val="MarginNote"/>
    <w:rsid w:val="007A6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65BC"/>
    <w:rPr>
      <w:sz w:val="2"/>
      <w:szCs w:val="2"/>
    </w:rPr>
  </w:style>
  <w:style w:type="character" w:customStyle="1" w:styleId="Small">
    <w:name w:val="Small"/>
    <w:basedOn w:val="DefaultParagraphFont"/>
    <w:rsid w:val="007A65BC"/>
    <w:rPr>
      <w:sz w:val="16"/>
    </w:rPr>
  </w:style>
  <w:style w:type="paragraph" w:customStyle="1" w:styleId="WideTable">
    <w:name w:val="Wide Table"/>
    <w:basedOn w:val="Normal"/>
    <w:rsid w:val="007A6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65BC"/>
  </w:style>
  <w:style w:type="paragraph" w:styleId="Quote">
    <w:name w:val="Quote"/>
    <w:basedOn w:val="Heading1"/>
    <w:link w:val="QuoteChar"/>
    <w:qFormat/>
    <w:rsid w:val="007A6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6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65BC"/>
    <w:pPr>
      <w:pageBreakBefore/>
    </w:pPr>
  </w:style>
  <w:style w:type="paragraph" w:customStyle="1" w:styleId="Border">
    <w:name w:val="Border"/>
    <w:basedOn w:val="Normal"/>
    <w:qFormat/>
    <w:rsid w:val="007A6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6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6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6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6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6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6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65BC"/>
    <w:rPr>
      <w:u w:val="single"/>
    </w:rPr>
  </w:style>
  <w:style w:type="character" w:customStyle="1" w:styleId="BoldandItalics">
    <w:name w:val="Bold and Italics"/>
    <w:qFormat/>
    <w:rsid w:val="007A65BC"/>
    <w:rPr>
      <w:b/>
      <w:i/>
      <w:u w:val="none"/>
    </w:rPr>
  </w:style>
  <w:style w:type="paragraph" w:styleId="BalloonText">
    <w:name w:val="Balloon Text"/>
    <w:basedOn w:val="Normal"/>
    <w:link w:val="BalloonTextChar"/>
    <w:rsid w:val="007A6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6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6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6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6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65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7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4045</Characters>
  <Application>Microsoft Office Word</Application>
  <DocSecurity>0</DocSecurity>
  <Lines>130</Lines>
  <Paragraphs>116</Paragraphs>
  <ScaleCrop>false</ScaleCrop>
  <Company>Author-it Software Corporation Ltd.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ACMVET408 Provide nutritional advice and support for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