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92A" w:rsidP="00E969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ACMVET403 Perform clinical pathology procedures</w:t>
      </w:r>
      <w:r>
        <w:fldChar w:fldCharType="end"/>
      </w:r>
    </w:p>
    <w:p w:rsidR="00E9692A" w:rsidP="00E9692A">
      <w:pPr>
        <w:pStyle w:val="Version"/>
        <w:sectPr w:rsidSect="00B432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3273" w:rsidP="00B43273">
      <w:pPr>
        <w:pStyle w:val="SuperHeading"/>
      </w:pPr>
      <w:r w:rsidRPr="00B43273">
        <w:t>Assessment Requirements for ACMVET403 Perform clinical pathology procedures</w:t>
      </w:r>
    </w:p>
    <w:p w:rsidR="00000000" w:rsidRPr="00B43273" w:rsidP="00B43273">
      <w:pPr>
        <w:pStyle w:val="Heading1"/>
      </w:pPr>
      <w:bookmarkStart w:id="1" w:name="O_874533"/>
      <w:bookmarkEnd w:id="1"/>
      <w:r w:rsidRPr="00B43273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6597"/>
      </w:tblGrid>
      <w:tr w:rsidTr="00B432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273" w:rsidP="00B43273">
            <w:pPr>
              <w:pStyle w:val="BodyText"/>
            </w:pPr>
            <w:r w:rsidRPr="00B43273">
              <w:rPr>
                <w:rStyle w:val="SpecialBold"/>
              </w:rPr>
              <w:t>Release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273">
            <w:pPr>
              <w:pStyle w:val="BodyText"/>
              <w:rPr>
                <w:lang w:val="en-NZ"/>
              </w:rPr>
            </w:pPr>
            <w:r w:rsidRPr="00B43273">
              <w:rPr>
                <w:rStyle w:val="SpecialBold"/>
              </w:rPr>
              <w:t>Comments</w:t>
            </w:r>
          </w:p>
        </w:tc>
      </w:tr>
      <w:tr w:rsidTr="00B432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273">
            <w:pPr>
              <w:pStyle w:val="BodyText"/>
              <w:rPr>
                <w:lang w:val="en-NZ"/>
              </w:rPr>
            </w:pPr>
            <w:r w:rsidRPr="00B43273">
              <w:t>Release 1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273" w:rsidP="00B43273">
            <w:pPr>
              <w:pStyle w:val="BodyText"/>
            </w:pPr>
            <w:r w:rsidRPr="00B43273">
              <w:t>This version released with ACM Animal Care and Management Training Package Version 2.0.</w:t>
            </w:r>
          </w:p>
        </w:tc>
      </w:tr>
    </w:tbl>
    <w:p w:rsidR="00000000" w:rsidRPr="00B43273" w:rsidP="00B43273">
      <w:pPr>
        <w:pStyle w:val="BodyText"/>
      </w:pPr>
    </w:p>
    <w:p w:rsidR="00000000" w:rsidRPr="00B43273" w:rsidP="00B43273">
      <w:pPr>
        <w:pStyle w:val="AllowPageBreak"/>
      </w:pPr>
    </w:p>
    <w:p w:rsidR="00000000" w:rsidRPr="00B43273" w:rsidP="00B43273">
      <w:pPr>
        <w:pStyle w:val="Heading1"/>
      </w:pPr>
      <w:bookmarkStart w:id="2" w:name="O_874534"/>
      <w:bookmarkEnd w:id="2"/>
      <w:r w:rsidRPr="00B43273">
        <w:t>Performance Evidence</w:t>
      </w:r>
    </w:p>
    <w:p w:rsidR="00000000" w:rsidRPr="00B43273" w:rsidP="00E9692A">
      <w:pPr>
        <w:pStyle w:val="BodyText"/>
      </w:pPr>
      <w:r w:rsidRPr="00B43273">
        <w:t>An individual demonstrating competency must satisfy all of the elements and performance criteria in this unit.</w:t>
      </w:r>
    </w:p>
    <w:p w:rsidR="00000000" w:rsidRPr="00B43273" w:rsidP="00E9692A">
      <w:pPr>
        <w:pStyle w:val="BodyText"/>
      </w:pPr>
      <w:r w:rsidRPr="00B43273">
        <w:t>There must be evidence that the individual has:</w:t>
      </w:r>
    </w:p>
    <w:p w:rsidR="00000000" w:rsidRPr="00B43273" w:rsidP="00B43273">
      <w:pPr>
        <w:pStyle w:val="ListBullet"/>
      </w:pPr>
      <w:r w:rsidRPr="00B43273">
        <w:t>collected, appropriately handled, labelled and stored biological samples fr</w:t>
      </w:r>
      <w:r w:rsidRPr="00B43273">
        <w:t>om a minimum two different species, including:</w:t>
      </w:r>
    </w:p>
    <w:p w:rsidR="00000000" w:rsidRPr="00B43273" w:rsidP="00B43273">
      <w:pPr>
        <w:pStyle w:val="ListBullet2"/>
      </w:pPr>
      <w:r w:rsidRPr="00B43273">
        <w:t>blood</w:t>
      </w:r>
    </w:p>
    <w:p w:rsidR="00000000" w:rsidRPr="00B43273" w:rsidP="00B43273">
      <w:pPr>
        <w:pStyle w:val="ListBullet2"/>
      </w:pPr>
      <w:r w:rsidRPr="00B43273">
        <w:t>faeces</w:t>
      </w:r>
    </w:p>
    <w:p w:rsidR="00000000" w:rsidRPr="00B43273" w:rsidP="00B43273">
      <w:pPr>
        <w:pStyle w:val="ListBullet2"/>
      </w:pPr>
      <w:r w:rsidRPr="00B43273">
        <w:t>urine</w:t>
      </w:r>
    </w:p>
    <w:p w:rsidR="00000000" w:rsidRPr="00B43273" w:rsidP="00B43273">
      <w:pPr>
        <w:pStyle w:val="ListBullet"/>
      </w:pPr>
      <w:r w:rsidRPr="00B43273">
        <w:t>collected, appropriately handled, labelled and stored biological samples of at least two of the following:</w:t>
      </w:r>
    </w:p>
    <w:p w:rsidR="00000000" w:rsidRPr="00B43273" w:rsidP="00B43273">
      <w:pPr>
        <w:pStyle w:val="ListBullet2"/>
      </w:pPr>
      <w:r w:rsidRPr="00B43273">
        <w:t>microbial swab</w:t>
      </w:r>
    </w:p>
    <w:p w:rsidR="00000000" w:rsidRPr="00B43273" w:rsidP="00B43273">
      <w:pPr>
        <w:pStyle w:val="ListBullet2"/>
      </w:pPr>
      <w:r w:rsidRPr="00B43273">
        <w:t>skin scrapings</w:t>
      </w:r>
    </w:p>
    <w:p w:rsidR="00000000" w:rsidRPr="00B43273" w:rsidP="00B43273">
      <w:pPr>
        <w:pStyle w:val="ListBullet2"/>
      </w:pPr>
      <w:r w:rsidRPr="00B43273">
        <w:t>hair samples</w:t>
      </w:r>
    </w:p>
    <w:p w:rsidR="00000000" w:rsidRPr="00B43273" w:rsidP="00B43273">
      <w:pPr>
        <w:pStyle w:val="ListBullet2"/>
      </w:pPr>
      <w:r w:rsidRPr="00B43273">
        <w:t>saliva</w:t>
      </w:r>
    </w:p>
    <w:p w:rsidR="00000000" w:rsidRPr="00B43273" w:rsidP="00B43273">
      <w:pPr>
        <w:pStyle w:val="ListBullet2"/>
      </w:pPr>
      <w:r w:rsidRPr="00B43273">
        <w:t>tissue</w:t>
      </w:r>
    </w:p>
    <w:p w:rsidR="00000000" w:rsidRPr="00B43273" w:rsidP="00B43273">
      <w:pPr>
        <w:pStyle w:val="ListBullet2"/>
      </w:pPr>
      <w:r w:rsidRPr="00B43273">
        <w:t>vomitus</w:t>
      </w:r>
    </w:p>
    <w:p w:rsidR="00000000" w:rsidRPr="00B43273" w:rsidP="00B43273">
      <w:pPr>
        <w:pStyle w:val="ListBullet2"/>
      </w:pPr>
      <w:r w:rsidRPr="00B43273">
        <w:t>wound material</w:t>
      </w:r>
    </w:p>
    <w:p w:rsidR="00000000" w:rsidRPr="00B43273" w:rsidP="00B43273">
      <w:pPr>
        <w:pStyle w:val="ListBullet"/>
      </w:pPr>
      <w:r w:rsidRPr="00B43273">
        <w:t>prepared microscope and slides for examination</w:t>
      </w:r>
    </w:p>
    <w:p w:rsidR="00000000" w:rsidRPr="00B43273" w:rsidP="00B43273">
      <w:pPr>
        <w:pStyle w:val="ListBullet"/>
      </w:pPr>
      <w:r w:rsidRPr="00B43273">
        <w:t>performed practice laboratory tests and recorded results, including:</w:t>
      </w:r>
    </w:p>
    <w:p w:rsidR="00000000" w:rsidRPr="00B43273" w:rsidP="00B43273">
      <w:pPr>
        <w:pStyle w:val="ListBullet2"/>
      </w:pPr>
      <w:r w:rsidRPr="00B43273">
        <w:t>Diff-Quik</w:t>
      </w:r>
    </w:p>
    <w:p w:rsidR="00000000" w:rsidRPr="00B43273" w:rsidP="00B43273">
      <w:pPr>
        <w:pStyle w:val="ListBullet2"/>
      </w:pPr>
      <w:r w:rsidRPr="00B43273">
        <w:t>PCV</w:t>
      </w:r>
    </w:p>
    <w:p w:rsidR="00000000" w:rsidRPr="00B43273" w:rsidP="00B43273">
      <w:pPr>
        <w:pStyle w:val="ListBullet2"/>
      </w:pPr>
      <w:r w:rsidRPr="00B43273">
        <w:t>TPP</w:t>
      </w:r>
    </w:p>
    <w:p w:rsidR="00000000" w:rsidRPr="00B43273" w:rsidP="00B43273">
      <w:pPr>
        <w:pStyle w:val="ListBullet2"/>
      </w:pPr>
      <w:r w:rsidRPr="00B43273">
        <w:t>USG</w:t>
      </w:r>
    </w:p>
    <w:p w:rsidR="00000000" w:rsidRPr="00B43273" w:rsidP="00B43273">
      <w:pPr>
        <w:pStyle w:val="ListBullet"/>
      </w:pPr>
      <w:r w:rsidRPr="00B43273">
        <w:t xml:space="preserve">performed the activities outlined in the performance criteria of this unit during a period </w:t>
      </w:r>
      <w:r w:rsidRPr="00B43273">
        <w:t>of at least 240 hours of work in a veterinary practice.</w:t>
      </w:r>
    </w:p>
    <w:p w:rsidR="00000000" w:rsidRPr="00B43273" w:rsidP="00B43273">
      <w:pPr>
        <w:pStyle w:val="AllowPageBreak"/>
      </w:pPr>
    </w:p>
    <w:p w:rsidR="00000000" w:rsidRPr="00B43273" w:rsidP="00B43273">
      <w:pPr>
        <w:pStyle w:val="Heading1"/>
      </w:pPr>
      <w:bookmarkStart w:id="3" w:name="O_874536"/>
      <w:bookmarkEnd w:id="3"/>
      <w:r w:rsidRPr="00B43273">
        <w:t>Knowledge Evidence</w:t>
      </w:r>
    </w:p>
    <w:p w:rsidR="00000000" w:rsidRPr="00B43273" w:rsidP="00E9692A">
      <w:pPr>
        <w:pStyle w:val="BodyText"/>
      </w:pPr>
      <w:r w:rsidRPr="00B43273">
        <w:t xml:space="preserve">An individual must be able to demonstrate the knowledge required to perform the tasks outlined in the elements and performance criteria of this unit. This includes </w:t>
      </w:r>
      <w:r w:rsidRPr="00B43273">
        <w:t>knowledge of:</w:t>
      </w:r>
    </w:p>
    <w:p w:rsidR="00000000" w:rsidRPr="00B43273" w:rsidP="00B43273">
      <w:pPr>
        <w:pStyle w:val="ListBullet"/>
      </w:pPr>
      <w:r w:rsidRPr="00B43273">
        <w:t>animal anatomy and physiology related to practice pathology sampling procedures</w:t>
      </w:r>
    </w:p>
    <w:p w:rsidR="00000000" w:rsidRPr="00B43273" w:rsidP="00B43273">
      <w:pPr>
        <w:pStyle w:val="ListBullet"/>
      </w:pPr>
      <w:r w:rsidRPr="00B43273">
        <w:t>biological sample collection methods and procedures, appropriate biological sampling sites and relevant industry laboratory techniques and procedures</w:t>
      </w:r>
    </w:p>
    <w:p w:rsidR="00000000" w:rsidRPr="00B43273" w:rsidP="00B43273">
      <w:pPr>
        <w:pStyle w:val="ListBullet"/>
      </w:pPr>
      <w:r w:rsidRPr="00B43273">
        <w:t>types of la</w:t>
      </w:r>
      <w:r w:rsidRPr="00B43273">
        <w:t>boratory tests</w:t>
      </w:r>
    </w:p>
    <w:p w:rsidR="00000000" w:rsidRPr="00B43273" w:rsidP="00B43273">
      <w:pPr>
        <w:pStyle w:val="ListBullet"/>
      </w:pPr>
      <w:r w:rsidRPr="00B43273">
        <w:t>blood tests, including:</w:t>
      </w:r>
    </w:p>
    <w:p w:rsidR="00000000" w:rsidRPr="00B43273" w:rsidP="00B43273">
      <w:pPr>
        <w:pStyle w:val="ListBullet2"/>
      </w:pPr>
      <w:r w:rsidRPr="00B43273">
        <w:t>biochemistry</w:t>
      </w:r>
    </w:p>
    <w:p w:rsidR="00000000" w:rsidRPr="00B43273" w:rsidP="00B43273">
      <w:pPr>
        <w:pStyle w:val="ListBullet2"/>
      </w:pPr>
      <w:r w:rsidRPr="00B43273">
        <w:t>haematocrit</w:t>
      </w:r>
    </w:p>
    <w:p w:rsidR="00000000" w:rsidRPr="00B43273" w:rsidP="00B43273">
      <w:pPr>
        <w:pStyle w:val="ListBullet2"/>
      </w:pPr>
      <w:r w:rsidRPr="00B43273">
        <w:t>haematology</w:t>
      </w:r>
    </w:p>
    <w:p w:rsidR="00000000" w:rsidRPr="00B43273" w:rsidP="00B43273">
      <w:pPr>
        <w:pStyle w:val="ListBullet2"/>
      </w:pPr>
      <w:r w:rsidRPr="00B43273">
        <w:t>total serum protein</w:t>
      </w:r>
    </w:p>
    <w:p w:rsidR="00000000" w:rsidRPr="00B43273" w:rsidP="00B43273">
      <w:pPr>
        <w:pStyle w:val="ListBullet2"/>
      </w:pPr>
      <w:r w:rsidRPr="00B43273">
        <w:t xml:space="preserve">white cell count </w:t>
      </w:r>
    </w:p>
    <w:p w:rsidR="00000000" w:rsidRPr="00B43273" w:rsidP="00B43273">
      <w:pPr>
        <w:pStyle w:val="ListBullet"/>
      </w:pPr>
      <w:r w:rsidRPr="00B43273">
        <w:t>microscopic examination of samples</w:t>
      </w:r>
    </w:p>
    <w:p w:rsidR="00000000" w:rsidRPr="00B43273" w:rsidP="00B43273">
      <w:pPr>
        <w:pStyle w:val="ListBullet"/>
      </w:pPr>
      <w:r w:rsidRPr="00B43273">
        <w:t>urinalysis</w:t>
      </w:r>
    </w:p>
    <w:p w:rsidR="00000000" w:rsidRPr="00B43273" w:rsidP="00B43273">
      <w:pPr>
        <w:pStyle w:val="ListBullet"/>
      </w:pPr>
      <w:r w:rsidRPr="00B43273">
        <w:t>use of dipstick tests</w:t>
      </w:r>
    </w:p>
    <w:p w:rsidR="00000000" w:rsidRPr="00B43273" w:rsidP="00B43273">
      <w:pPr>
        <w:pStyle w:val="ListBullet"/>
      </w:pPr>
      <w:r w:rsidRPr="00B43273">
        <w:t>Hendra virus exclusion tests</w:t>
      </w:r>
    </w:p>
    <w:p w:rsidR="00000000" w:rsidRPr="00B43273" w:rsidP="00B43273">
      <w:pPr>
        <w:pStyle w:val="ListBullet"/>
      </w:pPr>
      <w:r w:rsidRPr="00B43273">
        <w:t>setting-up and using a microscope</w:t>
      </w:r>
    </w:p>
    <w:p w:rsidR="00000000" w:rsidRPr="00B43273" w:rsidP="00B43273">
      <w:pPr>
        <w:pStyle w:val="ListBullet"/>
      </w:pPr>
      <w:r w:rsidRPr="00B43273">
        <w:t>routine microscope stains, including Gram, Diff-Quik</w:t>
      </w:r>
    </w:p>
    <w:p w:rsidR="00000000" w:rsidRPr="00B43273" w:rsidP="00B43273">
      <w:pPr>
        <w:pStyle w:val="ListBullet"/>
      </w:pPr>
      <w:r w:rsidRPr="00B43273">
        <w:t>types of pathology tests, including tests for antigens and antibodies, internal and external parasites</w:t>
      </w:r>
    </w:p>
    <w:p w:rsidR="00000000" w:rsidRPr="00B43273" w:rsidP="00B43273">
      <w:pPr>
        <w:pStyle w:val="ListBullet"/>
      </w:pPr>
      <w:r w:rsidRPr="00B43273">
        <w:t>faecal floats</w:t>
      </w:r>
    </w:p>
    <w:p w:rsidR="00000000" w:rsidRPr="00B43273" w:rsidP="00B43273">
      <w:pPr>
        <w:pStyle w:val="ListBullet"/>
      </w:pPr>
      <w:r w:rsidRPr="00B43273">
        <w:t>types of collection containers and their use</w:t>
      </w:r>
    </w:p>
    <w:p w:rsidR="00000000" w:rsidRPr="00B43273" w:rsidP="00B43273">
      <w:pPr>
        <w:pStyle w:val="ListBullet"/>
      </w:pPr>
      <w:r w:rsidRPr="00B43273">
        <w:t>set up for post-mortem</w:t>
      </w:r>
    </w:p>
    <w:p w:rsidR="00000000" w:rsidRPr="00B43273" w:rsidP="00B43273">
      <w:pPr>
        <w:pStyle w:val="ListBullet"/>
      </w:pPr>
      <w:r w:rsidRPr="00B43273">
        <w:t>equipment used dur</w:t>
      </w:r>
      <w:r w:rsidRPr="00B43273">
        <w:t>ing a post-mortem, including:</w:t>
      </w:r>
    </w:p>
    <w:p w:rsidR="00000000" w:rsidRPr="00B43273" w:rsidP="00B43273">
      <w:pPr>
        <w:pStyle w:val="ListBullet2"/>
      </w:pPr>
      <w:r w:rsidRPr="00B43273">
        <w:t>cleaning equipment trolleys</w:t>
      </w:r>
    </w:p>
    <w:p w:rsidR="00000000" w:rsidRPr="00B43273" w:rsidP="00B43273">
      <w:pPr>
        <w:pStyle w:val="ListBullet2"/>
      </w:pPr>
      <w:r w:rsidRPr="00B43273">
        <w:t>knives and needles</w:t>
      </w:r>
    </w:p>
    <w:p w:rsidR="00000000" w:rsidRPr="00B43273" w:rsidP="00B43273">
      <w:pPr>
        <w:pStyle w:val="ListBullet2"/>
      </w:pPr>
      <w:r w:rsidRPr="00B43273">
        <w:t>necropsy saw</w:t>
      </w:r>
    </w:p>
    <w:p w:rsidR="00000000" w:rsidRPr="00B43273" w:rsidP="00B43273">
      <w:pPr>
        <w:pStyle w:val="ListBullet2"/>
      </w:pPr>
      <w:r w:rsidRPr="00B43273">
        <w:t>scales</w:t>
      </w:r>
    </w:p>
    <w:p w:rsidR="00000000" w:rsidRPr="00B43273" w:rsidP="00B43273">
      <w:pPr>
        <w:pStyle w:val="ListBullet2"/>
      </w:pPr>
      <w:r w:rsidRPr="00B43273">
        <w:t>specimen containers</w:t>
      </w:r>
    </w:p>
    <w:p w:rsidR="00000000" w:rsidRPr="00B43273" w:rsidP="00B43273">
      <w:pPr>
        <w:pStyle w:val="ListBullet2"/>
      </w:pPr>
      <w:r w:rsidRPr="00B43273">
        <w:t>surgical instruments</w:t>
      </w:r>
    </w:p>
    <w:p w:rsidR="00000000" w:rsidRPr="00B43273" w:rsidP="00B43273">
      <w:pPr>
        <w:pStyle w:val="ListBullet2"/>
      </w:pPr>
      <w:r w:rsidRPr="00B43273">
        <w:t>personal protective equipment</w:t>
      </w:r>
    </w:p>
    <w:p w:rsidR="00000000" w:rsidRPr="00B43273" w:rsidP="00B43273">
      <w:pPr>
        <w:pStyle w:val="ListBullet"/>
      </w:pPr>
      <w:r w:rsidRPr="00B43273">
        <w:t>practice policies, procedures and WHS and infection control requirements related to the collection of pathology samples and disposal of sharps and biological waste</w:t>
      </w:r>
    </w:p>
    <w:p w:rsidR="00000000" w:rsidRPr="00B43273" w:rsidP="00B43273">
      <w:pPr>
        <w:pStyle w:val="ListBullet"/>
      </w:pPr>
      <w:r w:rsidRPr="00B43273">
        <w:t>normal ranges for pathology test results that veterinary nurses perform</w:t>
      </w:r>
    </w:p>
    <w:p w:rsidR="00000000" w:rsidRPr="00B43273" w:rsidP="00B43273">
      <w:pPr>
        <w:pStyle w:val="ListBullet"/>
      </w:pPr>
      <w:r w:rsidRPr="00B43273">
        <w:t xml:space="preserve">pathology tests and </w:t>
      </w:r>
      <w:r w:rsidRPr="00B43273">
        <w:t>the requirements for sample preparation, handling, storing</w:t>
      </w:r>
    </w:p>
    <w:p w:rsidR="00000000" w:rsidRPr="00B43273" w:rsidP="00B43273">
      <w:pPr>
        <w:pStyle w:val="ListBullet"/>
      </w:pPr>
      <w:r w:rsidRPr="00B43273">
        <w:t>requirements for dispatch and transport of samples from practice</w:t>
      </w:r>
    </w:p>
    <w:p w:rsidR="00000000" w:rsidRPr="00B43273" w:rsidP="00B43273">
      <w:pPr>
        <w:pStyle w:val="ListBullet"/>
      </w:pPr>
      <w:r w:rsidRPr="00B43273">
        <w:t>record-keeping of tests and results</w:t>
      </w:r>
    </w:p>
    <w:p w:rsidR="00000000" w:rsidRPr="00B43273" w:rsidP="00B43273">
      <w:pPr>
        <w:pStyle w:val="ListBullet"/>
      </w:pPr>
      <w:r w:rsidRPr="00B43273">
        <w:t>quality assurance in pathology procedures.</w:t>
      </w:r>
    </w:p>
    <w:p w:rsidR="00000000" w:rsidRPr="00B43273" w:rsidP="00B43273">
      <w:pPr>
        <w:pStyle w:val="AllowPageBreak"/>
      </w:pPr>
    </w:p>
    <w:p w:rsidR="00000000" w:rsidRPr="00B43273" w:rsidP="00B43273">
      <w:pPr>
        <w:pStyle w:val="Heading1"/>
      </w:pPr>
      <w:bookmarkStart w:id="4" w:name="O_874537"/>
      <w:bookmarkEnd w:id="4"/>
      <w:r w:rsidRPr="00B43273">
        <w:t>Assessment Conditions</w:t>
      </w:r>
    </w:p>
    <w:p w:rsidR="00000000" w:rsidRPr="00B43273" w:rsidP="00E9692A">
      <w:pPr>
        <w:pStyle w:val="BodyText"/>
      </w:pPr>
      <w:r w:rsidRPr="00B43273">
        <w:t xml:space="preserve">Assessment of </w:t>
      </w:r>
      <w:r w:rsidRPr="00B43273">
        <w:t xml:space="preserve">skills must take place under the following conditions: </w:t>
      </w:r>
    </w:p>
    <w:p w:rsidR="00000000" w:rsidRPr="00B43273" w:rsidP="00B43273">
      <w:pPr>
        <w:pStyle w:val="ListBullet"/>
      </w:pPr>
      <w:r w:rsidRPr="00B43273">
        <w:t>physical conditions:</w:t>
      </w:r>
    </w:p>
    <w:p w:rsidR="00000000" w:rsidRPr="00B43273" w:rsidP="00B43273">
      <w:pPr>
        <w:pStyle w:val="ListBullet2"/>
      </w:pPr>
      <w:r w:rsidRPr="00B43273">
        <w:t>in the workplace or an environment that accurately reflects a veterinary practice</w:t>
      </w:r>
    </w:p>
    <w:p w:rsidR="00000000" w:rsidRPr="00B43273" w:rsidP="00B43273">
      <w:pPr>
        <w:pStyle w:val="ListBullet"/>
      </w:pPr>
      <w:r w:rsidRPr="00B43273">
        <w:t>resources, equipment and materials:</w:t>
      </w:r>
    </w:p>
    <w:p w:rsidR="00000000" w:rsidRPr="00B43273" w:rsidP="00B43273">
      <w:pPr>
        <w:pStyle w:val="ListBullet2"/>
      </w:pPr>
      <w:r w:rsidRPr="00B43273">
        <w:t>a range of real animals</w:t>
      </w:r>
    </w:p>
    <w:p w:rsidR="00000000" w:rsidRPr="00B43273" w:rsidP="00B43273">
      <w:pPr>
        <w:pStyle w:val="ListBullet2"/>
      </w:pPr>
      <w:r w:rsidRPr="00B43273">
        <w:t>equipment and resources typically available in a veterinary practice</w:t>
      </w:r>
    </w:p>
    <w:p w:rsidR="00000000" w:rsidRPr="00B43273" w:rsidP="00B43273">
      <w:pPr>
        <w:pStyle w:val="ListBullet"/>
      </w:pPr>
      <w:r w:rsidRPr="00B43273">
        <w:t>specifications:</w:t>
      </w:r>
    </w:p>
    <w:p w:rsidR="00000000" w:rsidRPr="00B43273" w:rsidP="00B43273">
      <w:pPr>
        <w:pStyle w:val="ListBullet2"/>
      </w:pPr>
      <w:r w:rsidRPr="00B43273">
        <w:t>manufacturer’s operating instructions for specialised equipment</w:t>
      </w:r>
    </w:p>
    <w:p w:rsidR="00000000" w:rsidRPr="00B43273" w:rsidP="00B43273">
      <w:pPr>
        <w:pStyle w:val="ListBullet2"/>
      </w:pPr>
      <w:r w:rsidRPr="00B43273">
        <w:t>organisational policies and procedures, current legislation, regulations and relevant codes of practice</w:t>
      </w:r>
    </w:p>
    <w:p w:rsidR="00000000" w:rsidRPr="00B43273" w:rsidP="00B43273">
      <w:pPr>
        <w:pStyle w:val="ListBullet"/>
      </w:pPr>
      <w:r w:rsidRPr="00B43273">
        <w:t>relationships (internal and/or external):</w:t>
      </w:r>
    </w:p>
    <w:p w:rsidR="00000000" w:rsidRPr="00B43273" w:rsidP="00B43273">
      <w:pPr>
        <w:pStyle w:val="ListBullet2"/>
      </w:pPr>
      <w:r w:rsidRPr="00B43273">
        <w:t>interactions with a registered veterinarian or minimum of Certificate IV qualified veterinary nurse.</w:t>
      </w:r>
    </w:p>
    <w:p w:rsidR="00000000" w:rsidRPr="00B43273" w:rsidP="00B43273">
      <w:pPr>
        <w:pStyle w:val="BodyText"/>
      </w:pPr>
    </w:p>
    <w:p w:rsidR="00000000" w:rsidRPr="00B43273" w:rsidP="00E9692A">
      <w:pPr>
        <w:pStyle w:val="BodyText"/>
      </w:pPr>
      <w:r w:rsidRPr="00B43273">
        <w:t>Assessors of this unit must satisfy the requirements for assessors in applicable vocational education and train</w:t>
      </w:r>
      <w:r w:rsidRPr="00B43273">
        <w:t>ing legislation, frameworks and/or standards.</w:t>
      </w:r>
    </w:p>
    <w:p w:rsidR="00000000" w:rsidRPr="00B43273" w:rsidP="00B43273">
      <w:pPr>
        <w:pStyle w:val="Heading1"/>
      </w:pPr>
      <w:bookmarkStart w:id="5" w:name="O_874540"/>
      <w:bookmarkEnd w:id="5"/>
      <w:r w:rsidRPr="00B43273">
        <w:t>Links</w:t>
      </w:r>
    </w:p>
    <w:p w:rsidR="00000000" w:rsidRPr="00B43273" w:rsidP="00E9692A">
      <w:pPr>
        <w:pStyle w:val="BodyText"/>
      </w:pPr>
      <w:r w:rsidRPr="00B432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D0FC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43273" w:rsidP="00B43273"/>
    <w:sectPr w:rsidSect="00B432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2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273" w:rsidRPr="00E9692A" w:rsidP="00E969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2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92A" w:rsidP="00B43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692A" w:rsidP="00B43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692A" w:rsidP="00B432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2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9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3273" w:rsidRPr="00E9692A" w:rsidP="00E969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2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92A" w:rsidRPr="002D2AF8" w:rsidP="00B43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ACMVET403 Perform clinical pathology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9692A" w:rsidP="00B432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6A01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BA6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CC39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32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32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32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32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32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32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32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32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32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32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3273"/>
  </w:style>
  <w:style w:type="character" w:customStyle="1" w:styleId="Heading1Char">
    <w:name w:val="Heading 1 Char"/>
    <w:basedOn w:val="DefaultParagraphFont"/>
    <w:link w:val="Heading1"/>
    <w:rsid w:val="00B432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32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32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32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3273"/>
    <w:rPr>
      <w:b/>
      <w:spacing w:val="0"/>
    </w:rPr>
  </w:style>
  <w:style w:type="paragraph" w:styleId="ListBullet2">
    <w:name w:val="List Bullet 2"/>
    <w:basedOn w:val="List2"/>
    <w:rsid w:val="00B432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32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32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32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32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32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3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3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3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3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32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32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32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32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32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32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32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32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32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32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32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32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32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32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32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32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32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32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32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32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32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32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32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32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32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3273"/>
    <w:rPr>
      <w:i/>
    </w:rPr>
  </w:style>
  <w:style w:type="paragraph" w:styleId="Caption">
    <w:name w:val="caption"/>
    <w:basedOn w:val="BodyText"/>
    <w:next w:val="Normal"/>
    <w:qFormat/>
    <w:rsid w:val="00B432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32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32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3273"/>
  </w:style>
  <w:style w:type="paragraph" w:styleId="TableofFigures">
    <w:name w:val="table of figures"/>
    <w:basedOn w:val="Normal"/>
    <w:next w:val="Normal"/>
    <w:semiHidden/>
    <w:rsid w:val="00B432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32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3273"/>
    <w:rPr>
      <w:rFonts w:ascii="Wingdings" w:hAnsi="Wingdings"/>
    </w:rPr>
  </w:style>
  <w:style w:type="paragraph" w:customStyle="1" w:styleId="TableHeading">
    <w:name w:val="Table Heading"/>
    <w:basedOn w:val="HeadingBase"/>
    <w:rsid w:val="00B432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3273"/>
    <w:rPr>
      <w:color w:val="0033CC"/>
      <w:u w:val="none"/>
    </w:rPr>
  </w:style>
  <w:style w:type="paragraph" w:customStyle="1" w:styleId="BodyTextRight">
    <w:name w:val="Body Text Right"/>
    <w:basedOn w:val="BodyText"/>
    <w:rsid w:val="00B432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32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32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32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32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32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3273"/>
    <w:rPr>
      <w:sz w:val="32"/>
    </w:rPr>
  </w:style>
  <w:style w:type="paragraph" w:customStyle="1" w:styleId="HeadingProcedure">
    <w:name w:val="Heading Procedure"/>
    <w:basedOn w:val="HeadingBase"/>
    <w:next w:val="Normal"/>
    <w:rsid w:val="00B432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3273"/>
    <w:pPr>
      <w:spacing w:before="60" w:after="60"/>
    </w:pPr>
  </w:style>
  <w:style w:type="paragraph" w:styleId="ListContinue">
    <w:name w:val="List Continue"/>
    <w:basedOn w:val="List"/>
    <w:rsid w:val="00B43273"/>
    <w:pPr>
      <w:ind w:firstLine="0"/>
    </w:pPr>
  </w:style>
  <w:style w:type="paragraph" w:customStyle="1" w:styleId="ListNote">
    <w:name w:val="List Note"/>
    <w:basedOn w:val="List"/>
    <w:rsid w:val="00B432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32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32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3273"/>
    <w:rPr>
      <w:rFonts w:ascii="Courier New" w:hAnsi="Courier New"/>
    </w:rPr>
  </w:style>
  <w:style w:type="paragraph" w:customStyle="1" w:styleId="NoteBullet">
    <w:name w:val="Note Bullet"/>
    <w:basedOn w:val="Note"/>
    <w:rsid w:val="00B432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32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32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32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32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32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32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3273"/>
    <w:rPr>
      <w:b/>
      <w:smallCaps/>
    </w:rPr>
  </w:style>
  <w:style w:type="paragraph" w:customStyle="1" w:styleId="TableListNumber">
    <w:name w:val="Table List Number"/>
    <w:basedOn w:val="ListNumber"/>
    <w:rsid w:val="00B432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32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3273"/>
    <w:pPr>
      <w:numPr>
        <w:numId w:val="9"/>
      </w:numPr>
    </w:pPr>
  </w:style>
  <w:style w:type="paragraph" w:customStyle="1" w:styleId="ListAlpha2">
    <w:name w:val="List Alpha 2"/>
    <w:basedOn w:val="List2"/>
    <w:rsid w:val="00B43273"/>
    <w:pPr>
      <w:numPr>
        <w:numId w:val="8"/>
      </w:numPr>
    </w:pPr>
  </w:style>
  <w:style w:type="paragraph" w:styleId="List2">
    <w:name w:val="List 2"/>
    <w:basedOn w:val="BodyText"/>
    <w:rsid w:val="00B432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32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32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32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32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32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3273"/>
    <w:pPr>
      <w:numPr>
        <w:numId w:val="4"/>
      </w:numPr>
    </w:pPr>
  </w:style>
  <w:style w:type="paragraph" w:styleId="ListContinue2">
    <w:name w:val="List Continue 2"/>
    <w:basedOn w:val="List2"/>
    <w:rsid w:val="00B43273"/>
    <w:pPr>
      <w:ind w:firstLine="0"/>
    </w:pPr>
  </w:style>
  <w:style w:type="paragraph" w:styleId="ListContinue3">
    <w:name w:val="List Continue 3"/>
    <w:basedOn w:val="List3"/>
    <w:rsid w:val="00B43273"/>
    <w:pPr>
      <w:ind w:left="1021" w:firstLine="0"/>
    </w:pPr>
  </w:style>
  <w:style w:type="paragraph" w:styleId="ListContinue4">
    <w:name w:val="List Continue 4"/>
    <w:basedOn w:val="List4"/>
    <w:rsid w:val="00B43273"/>
    <w:pPr>
      <w:ind w:firstLine="0"/>
    </w:pPr>
  </w:style>
  <w:style w:type="paragraph" w:styleId="ListContinue5">
    <w:name w:val="List Continue 5"/>
    <w:basedOn w:val="List5"/>
    <w:rsid w:val="00B43273"/>
    <w:pPr>
      <w:ind w:firstLine="0"/>
    </w:pPr>
  </w:style>
  <w:style w:type="paragraph" w:styleId="ListNumber3">
    <w:name w:val="List Number 3"/>
    <w:basedOn w:val="List3"/>
    <w:rsid w:val="00B43273"/>
    <w:pPr>
      <w:numPr>
        <w:numId w:val="5"/>
      </w:numPr>
    </w:pPr>
  </w:style>
  <w:style w:type="paragraph" w:styleId="ListNumber4">
    <w:name w:val="List Number 4"/>
    <w:basedOn w:val="List4"/>
    <w:rsid w:val="00B43273"/>
    <w:pPr>
      <w:numPr>
        <w:numId w:val="6"/>
      </w:numPr>
    </w:pPr>
  </w:style>
  <w:style w:type="paragraph" w:styleId="ListNumber5">
    <w:name w:val="List Number 5"/>
    <w:basedOn w:val="List5"/>
    <w:rsid w:val="00B43273"/>
    <w:pPr>
      <w:numPr>
        <w:numId w:val="7"/>
      </w:numPr>
    </w:pPr>
  </w:style>
  <w:style w:type="paragraph" w:styleId="BlockText">
    <w:name w:val="Block Text"/>
    <w:basedOn w:val="Normal"/>
    <w:rsid w:val="00B432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32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3273"/>
    <w:rPr>
      <w:sz w:val="16"/>
      <w:vertAlign w:val="superscript"/>
    </w:rPr>
  </w:style>
  <w:style w:type="character" w:customStyle="1" w:styleId="Symbols">
    <w:name w:val="Symbols"/>
    <w:basedOn w:val="DefaultParagraphFont"/>
    <w:rsid w:val="00B43273"/>
    <w:rPr>
      <w:rFonts w:ascii="Symbol" w:hAnsi="Symbol"/>
    </w:rPr>
  </w:style>
  <w:style w:type="character" w:customStyle="1" w:styleId="MenuOptions">
    <w:name w:val="Menu Options"/>
    <w:basedOn w:val="DefaultParagraphFont"/>
    <w:rsid w:val="00B432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3273"/>
    <w:rPr>
      <w:b/>
    </w:rPr>
  </w:style>
  <w:style w:type="character" w:customStyle="1" w:styleId="Underlined">
    <w:name w:val="Underlined"/>
    <w:basedOn w:val="DefaultParagraphFont"/>
    <w:rsid w:val="00B43273"/>
    <w:rPr>
      <w:u w:val="single"/>
    </w:rPr>
  </w:style>
  <w:style w:type="paragraph" w:customStyle="1" w:styleId="TableBodyTextRight">
    <w:name w:val="Table Body Text Right"/>
    <w:basedOn w:val="TableBodyText"/>
    <w:rsid w:val="00B432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3273"/>
    <w:rPr>
      <w:sz w:val="18"/>
    </w:rPr>
  </w:style>
  <w:style w:type="paragraph" w:customStyle="1" w:styleId="BodySmallRight">
    <w:name w:val="Body Small Right"/>
    <w:basedOn w:val="BodyTextRight"/>
    <w:rsid w:val="00B43273"/>
    <w:rPr>
      <w:sz w:val="18"/>
      <w:szCs w:val="18"/>
    </w:rPr>
  </w:style>
  <w:style w:type="paragraph" w:customStyle="1" w:styleId="MarginEdition">
    <w:name w:val="Margin Edition"/>
    <w:basedOn w:val="MarginNote"/>
    <w:rsid w:val="00B432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3273"/>
    <w:rPr>
      <w:sz w:val="2"/>
      <w:szCs w:val="2"/>
    </w:rPr>
  </w:style>
  <w:style w:type="character" w:customStyle="1" w:styleId="Small">
    <w:name w:val="Small"/>
    <w:basedOn w:val="DefaultParagraphFont"/>
    <w:rsid w:val="00B43273"/>
    <w:rPr>
      <w:sz w:val="16"/>
    </w:rPr>
  </w:style>
  <w:style w:type="paragraph" w:customStyle="1" w:styleId="WideTable">
    <w:name w:val="Wide Table"/>
    <w:basedOn w:val="Normal"/>
    <w:rsid w:val="00B432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3273"/>
  </w:style>
  <w:style w:type="paragraph" w:styleId="Quote">
    <w:name w:val="Quote"/>
    <w:basedOn w:val="Heading1"/>
    <w:link w:val="QuoteChar"/>
    <w:qFormat/>
    <w:rsid w:val="00B432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32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3273"/>
    <w:pPr>
      <w:pageBreakBefore/>
    </w:pPr>
  </w:style>
  <w:style w:type="paragraph" w:customStyle="1" w:styleId="Border">
    <w:name w:val="Border"/>
    <w:basedOn w:val="Normal"/>
    <w:qFormat/>
    <w:rsid w:val="00B432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32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2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2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32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32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32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32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32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3273"/>
    <w:rPr>
      <w:u w:val="single"/>
    </w:rPr>
  </w:style>
  <w:style w:type="character" w:customStyle="1" w:styleId="BoldandItalics">
    <w:name w:val="Bold and Italics"/>
    <w:qFormat/>
    <w:rsid w:val="00B43273"/>
    <w:rPr>
      <w:b/>
      <w:i/>
      <w:u w:val="none"/>
    </w:rPr>
  </w:style>
  <w:style w:type="paragraph" w:styleId="BalloonText">
    <w:name w:val="Balloon Text"/>
    <w:basedOn w:val="Normal"/>
    <w:link w:val="BalloonTextChar"/>
    <w:rsid w:val="00B432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2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32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32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32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32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3273"/>
    <w:pPr>
      <w:spacing w:before="0" w:after="0"/>
    </w:pPr>
  </w:style>
  <w:style w:type="paragraph" w:customStyle="1" w:styleId="BodyTextBold">
    <w:name w:val="Body Text Bold"/>
    <w:basedOn w:val="BodyText"/>
    <w:qFormat/>
    <w:rsid w:val="00B43273"/>
    <w:rPr>
      <w:b/>
    </w:rPr>
  </w:style>
  <w:style w:type="character" w:styleId="Hyperlink">
    <w:name w:val="Hyperlink"/>
    <w:basedOn w:val="DefaultParagraphFont"/>
    <w:uiPriority w:val="99"/>
    <w:unhideWhenUsed/>
    <w:rsid w:val="00E969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485</Words>
  <Characters>3329</Characters>
  <Application>Microsoft Office Word</Application>
  <DocSecurity>0</DocSecurity>
  <Lines>107</Lines>
  <Paragraphs>93</Paragraphs>
  <ScaleCrop>false</ScaleCrop>
  <Company>Author-it Software Corporation Ltd.</Company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ACMVET403 Perform clinical pathology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2022-07-16T08:34:00Z</dcterms:created>
  <dcterms:modified xsi:type="dcterms:W3CDTF">2022-07-16T08:34:00Z</dcterms:modified>
</cp:coreProperties>
</file>