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B7B" w:rsidP="00427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ACMSPE318 Provide general care of fish</w:t>
      </w:r>
      <w:r>
        <w:fldChar w:fldCharType="end"/>
      </w:r>
    </w:p>
    <w:p w:rsidR="00427B7B" w:rsidP="00427B7B">
      <w:pPr>
        <w:pStyle w:val="Version"/>
        <w:sectPr w:rsidSect="003D6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E33" w:rsidP="003D6E33">
      <w:pPr>
        <w:pStyle w:val="SuperHeading"/>
      </w:pPr>
      <w:r w:rsidRPr="003D6E33">
        <w:t>ACMSPE318 Provide general care of fish</w:t>
      </w:r>
    </w:p>
    <w:p w:rsidR="00000000" w:rsidRPr="003D6E33" w:rsidP="003D6E33">
      <w:pPr>
        <w:pStyle w:val="Heading1"/>
      </w:pPr>
      <w:bookmarkStart w:id="1" w:name="O_1171718"/>
      <w:bookmarkEnd w:id="1"/>
      <w:r w:rsidRPr="003D6E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Comments</w:t>
            </w:r>
          </w:p>
        </w:tc>
      </w:tr>
      <w:tr w:rsidTr="003D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This version released with ACM Animal Care and Management Training Package Version 4.0.</w:t>
            </w:r>
          </w:p>
        </w:tc>
      </w:tr>
    </w:tbl>
    <w:p w:rsidR="00000000" w:rsidRPr="003D6E33" w:rsidP="003D6E33">
      <w:pPr>
        <w:pStyle w:val="BodyText"/>
      </w:pPr>
    </w:p>
    <w:p w:rsidR="00000000" w:rsidRPr="003D6E33" w:rsidP="003D6E33">
      <w:pPr>
        <w:pStyle w:val="AllowPageBreak"/>
      </w:pPr>
    </w:p>
    <w:p w:rsidR="00000000" w:rsidRPr="003D6E33" w:rsidP="003D6E33">
      <w:pPr>
        <w:pStyle w:val="Heading1"/>
      </w:pPr>
      <w:bookmarkStart w:id="2" w:name="O_1171719"/>
      <w:bookmarkEnd w:id="2"/>
      <w:r w:rsidRPr="003D6E33">
        <w:t>Application</w:t>
      </w:r>
    </w:p>
    <w:p w:rsidR="00000000" w:rsidRPr="003D6E33" w:rsidP="00427B7B">
      <w:pPr>
        <w:pStyle w:val="BodyText"/>
      </w:pPr>
      <w:r w:rsidRPr="003D6E33">
        <w:t>This unit of competency describes the skills and knowledge required to identify fish a</w:t>
      </w:r>
      <w:r w:rsidRPr="003D6E33">
        <w:t>nd their behavioural and physical needs, and provide daily care requirements.</w:t>
      </w:r>
    </w:p>
    <w:p w:rsidR="00000000" w:rsidRPr="003D6E33" w:rsidP="00427B7B">
      <w:pPr>
        <w:pStyle w:val="BodyText"/>
      </w:pPr>
      <w:r w:rsidRPr="003D6E33">
        <w:t xml:space="preserve">This unit applies to individuals working in the animal care industry where it may be necessary to care for marine and/or freshwater fish. This may include aquariums, pet stores, </w:t>
      </w:r>
      <w:r w:rsidRPr="003D6E33">
        <w:t>zoos, animal technology facilities, catchers and distributors or similar workplaces. This unit applies to individuals who work under broad supervision and provide and communicate solutions to a range of predictable problems.</w:t>
      </w:r>
    </w:p>
    <w:p w:rsidR="00000000" w:rsidRPr="003D6E33" w:rsidP="00427B7B">
      <w:pPr>
        <w:pStyle w:val="BodyText"/>
      </w:pPr>
      <w:r w:rsidRPr="003D6E33">
        <w:t>All work must be carried out to</w:t>
      </w:r>
      <w:r w:rsidRPr="003D6E33">
        <w:t xml:space="preserve"> comply with workplace procedures according to Commonwealth and state/territory health and safety and animal welfare regulations, legislation and standards that apply to the workplace.</w:t>
      </w:r>
    </w:p>
    <w:p w:rsidR="00000000" w:rsidRPr="003D6E33" w:rsidP="00427B7B">
      <w:pPr>
        <w:pStyle w:val="BodyText"/>
      </w:pPr>
      <w:r w:rsidRPr="003D6E33">
        <w:t>No licensing, legislative or certification requirements apply to this u</w:t>
      </w:r>
      <w:r w:rsidRPr="003D6E33">
        <w:t>nit at the time of publication.</w:t>
      </w:r>
    </w:p>
    <w:p w:rsidR="00000000" w:rsidRPr="003D6E33" w:rsidP="003D6E33">
      <w:pPr>
        <w:pStyle w:val="Heading1"/>
      </w:pPr>
      <w:bookmarkStart w:id="3" w:name="O_1171720"/>
      <w:bookmarkEnd w:id="3"/>
      <w:r w:rsidRPr="003D6E33">
        <w:t>Pre-requisite Unit</w:t>
      </w:r>
    </w:p>
    <w:p w:rsidR="00000000" w:rsidRPr="003D6E33" w:rsidP="00427B7B">
      <w:pPr>
        <w:pStyle w:val="BodyText"/>
      </w:pPr>
      <w:r w:rsidRPr="003D6E33">
        <w:t>Nil</w:t>
      </w:r>
    </w:p>
    <w:p w:rsidR="00000000" w:rsidRPr="003D6E33" w:rsidP="003D6E33">
      <w:pPr>
        <w:pStyle w:val="Heading1"/>
      </w:pPr>
      <w:bookmarkStart w:id="4" w:name="O_1171722"/>
      <w:bookmarkEnd w:id="4"/>
      <w:r w:rsidRPr="003D6E33">
        <w:t>Unit Sector</w:t>
      </w:r>
    </w:p>
    <w:p w:rsidR="00000000" w:rsidRPr="003D6E33" w:rsidP="00427B7B">
      <w:pPr>
        <w:pStyle w:val="BodyText"/>
      </w:pPr>
      <w:r w:rsidRPr="003D6E33">
        <w:t>Species Specific (SPE)</w:t>
      </w:r>
    </w:p>
    <w:p w:rsidR="00000000" w:rsidRPr="003D6E33" w:rsidP="003D6E33">
      <w:pPr>
        <w:pStyle w:val="Heading1"/>
      </w:pPr>
      <w:bookmarkStart w:id="5" w:name="O_1171723"/>
      <w:bookmarkEnd w:id="5"/>
      <w:r w:rsidRPr="003D6E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Performance Criteria</w:t>
            </w:r>
          </w:p>
        </w:tc>
      </w:tr>
      <w:tr w:rsidTr="0042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1. Identify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1.1 Define the habitat, activity cycle and general features of fish commonly housed in facility</w:t>
            </w:r>
          </w:p>
          <w:p w:rsidR="00000000" w:rsidRPr="003D6E33" w:rsidP="003D6E33">
            <w:pPr>
              <w:pStyle w:val="BodyText"/>
            </w:pPr>
            <w:r w:rsidRPr="003D6E33">
              <w:t>1.2 Identify and describe external features us</w:t>
            </w:r>
            <w:r w:rsidRPr="003D6E33">
              <w:t>ing industry terminology</w:t>
            </w:r>
          </w:p>
          <w:p w:rsidR="00000000" w:rsidRPr="003D6E33" w:rsidP="003D6E33">
            <w:pPr>
              <w:pStyle w:val="BodyText"/>
            </w:pPr>
            <w:r w:rsidRPr="003D6E33">
              <w:t>1.3 Classify marine and freshwater fish according to taxonomy</w:t>
            </w:r>
          </w:p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1.4 Define, interpret and document colours, markings and other identifying features</w:t>
            </w:r>
          </w:p>
        </w:tc>
      </w:tr>
      <w:tr w:rsidTr="0042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2. Identify and evaluate behavioural and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2.1 Monitor water quality and make adjustments as required to maintain optimum water quality</w:t>
            </w:r>
          </w:p>
          <w:p w:rsidR="00000000" w:rsidRPr="003D6E33" w:rsidP="003D6E33">
            <w:pPr>
              <w:pStyle w:val="BodyText"/>
            </w:pPr>
            <w:r w:rsidRPr="003D6E33">
              <w:t>2.2 Identify indicators of normal behaviour</w:t>
            </w:r>
          </w:p>
          <w:p w:rsidR="00000000" w:rsidRPr="003D6E33" w:rsidP="003D6E33">
            <w:pPr>
              <w:pStyle w:val="BodyText"/>
            </w:pPr>
            <w:r w:rsidRPr="003D6E33">
              <w:t>2.3 Recognise signs of distressed fish and report to supervisor</w:t>
            </w:r>
          </w:p>
          <w:p w:rsidR="00000000" w:rsidRPr="003D6E33" w:rsidP="003D6E33">
            <w:pPr>
              <w:pStyle w:val="BodyText"/>
            </w:pPr>
            <w:r w:rsidRPr="003D6E33">
              <w:t>2.4 Identify industry standards and guidelines for hous</w:t>
            </w:r>
            <w:r w:rsidRPr="003D6E33">
              <w:t>ing design, environmental factors and appropriate stocking densities</w:t>
            </w:r>
          </w:p>
          <w:p w:rsidR="00000000" w:rsidRPr="003D6E33" w:rsidP="003D6E33">
            <w:pPr>
              <w:pStyle w:val="BodyText"/>
            </w:pPr>
            <w:r w:rsidRPr="003D6E33">
              <w:t>2.5 Evaluate current animal housing design in relation to the welfare of animals kept and legislation requirements</w:t>
            </w:r>
          </w:p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2.6 Implement behavioural enrichment activities for fish species</w:t>
            </w:r>
          </w:p>
        </w:tc>
      </w:tr>
      <w:tr w:rsidTr="0042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3. Cat</w:t>
            </w:r>
            <w:r w:rsidRPr="003D6E33">
              <w:t>ch, handle and restrain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3.1 Identify workplace health and safety risks associated with handling and restraining fish</w:t>
            </w:r>
          </w:p>
          <w:p w:rsidR="00000000" w:rsidRPr="003D6E33" w:rsidP="003D6E33">
            <w:pPr>
              <w:pStyle w:val="BodyText"/>
            </w:pPr>
            <w:r w:rsidRPr="003D6E33">
              <w:t>3.2 Implement methods to minimise safety risks and use appropriate personal protective equipment</w:t>
            </w:r>
          </w:p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 xml:space="preserve">3.3 Catch and restrain fish in a way </w:t>
            </w:r>
            <w:r w:rsidRPr="003D6E33">
              <w:t>that minimises risks, using low stress handling techniques and equipment to minimise risks to the animal and others</w:t>
            </w:r>
          </w:p>
        </w:tc>
      </w:tr>
      <w:tr w:rsidTr="0042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4. Assist with health care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4.1 Identify signs of good health in fish</w:t>
            </w:r>
          </w:p>
          <w:p w:rsidR="00000000" w:rsidRPr="003D6E33" w:rsidP="003D6E33">
            <w:pPr>
              <w:pStyle w:val="BodyText"/>
            </w:pPr>
            <w:r w:rsidRPr="003D6E33">
              <w:t>4.2 Report signs of disease or other conditions to supervisor</w:t>
            </w:r>
          </w:p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4.</w:t>
            </w:r>
            <w:r w:rsidRPr="003D6E33">
              <w:t>3 Identify general health maintenance and preventative treatment procedures and implement according to supervisor instructions</w:t>
            </w:r>
          </w:p>
        </w:tc>
      </w:tr>
      <w:tr w:rsidTr="0042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5. Feed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5.1 Identify digestive system features and relate to species-specific feeding routines and diets</w:t>
            </w:r>
          </w:p>
          <w:p w:rsidR="00000000" w:rsidRPr="003D6E33" w:rsidP="003D6E33">
            <w:pPr>
              <w:pStyle w:val="BodyText"/>
            </w:pPr>
            <w:r w:rsidRPr="003D6E33">
              <w:t>5.2 Identify prefe</w:t>
            </w:r>
            <w:r w:rsidRPr="003D6E33">
              <w:t>rred feed sources and assess samples for quality and suitability</w:t>
            </w:r>
          </w:p>
          <w:p w:rsidR="00000000" w:rsidRPr="003D6E33" w:rsidP="003D6E33">
            <w:pPr>
              <w:pStyle w:val="BodyText"/>
            </w:pPr>
            <w:r w:rsidRPr="003D6E33">
              <w:t>5.3 Identify potential feeding hazards and implement risk control options</w:t>
            </w:r>
          </w:p>
          <w:p w:rsidR="00000000" w:rsidRPr="003D6E33" w:rsidP="003D6E33">
            <w:pPr>
              <w:pStyle w:val="BodyText"/>
            </w:pPr>
            <w:r w:rsidRPr="003D6E33">
              <w:t>5.4 Prepare food according to dietary needs</w:t>
            </w:r>
          </w:p>
          <w:p w:rsidR="00000000" w:rsidRPr="003D6E33" w:rsidP="003D6E33">
            <w:pPr>
              <w:pStyle w:val="BodyText"/>
            </w:pPr>
            <w:r w:rsidRPr="003D6E33">
              <w:t>5.5 Distribute food according to schedule, feeding plan</w:t>
            </w:r>
          </w:p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5.6 Culture animal and plant species commonly used to feed fish</w:t>
            </w:r>
          </w:p>
        </w:tc>
      </w:tr>
      <w:tr w:rsidTr="0042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6.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6.1 Complete feed and treatment records noting food consumption, health and care activities</w:t>
            </w:r>
          </w:p>
          <w:p w:rsidR="00000000" w:rsidRPr="003D6E33" w:rsidP="003D6E33">
            <w:pPr>
              <w:pStyle w:val="BodyText"/>
            </w:pPr>
            <w:r w:rsidRPr="003D6E33">
              <w:t>6.2 Record abnormalities and advise supervisor</w:t>
            </w:r>
          </w:p>
          <w:p w:rsidR="00000000" w:rsidRPr="003D6E33" w:rsidP="003D6E33">
            <w:pPr>
              <w:pStyle w:val="BodyText"/>
            </w:pPr>
            <w:r w:rsidRPr="003D6E33">
              <w:t>6.3 Complete documentation relev</w:t>
            </w:r>
            <w:r w:rsidRPr="003D6E33">
              <w:t>ant to licences and transport, where required</w:t>
            </w:r>
          </w:p>
        </w:tc>
      </w:tr>
    </w:tbl>
    <w:p w:rsidR="00000000" w:rsidRPr="003D6E33" w:rsidP="003D6E33">
      <w:pPr>
        <w:pStyle w:val="BodyText"/>
      </w:pPr>
    </w:p>
    <w:p w:rsidR="00000000" w:rsidRPr="003D6E33" w:rsidP="003D6E33">
      <w:pPr>
        <w:pStyle w:val="AllowPageBreak"/>
      </w:pPr>
    </w:p>
    <w:p w:rsidR="00000000" w:rsidRPr="003D6E33" w:rsidP="003D6E33">
      <w:pPr>
        <w:pStyle w:val="Heading1"/>
      </w:pPr>
      <w:bookmarkStart w:id="6" w:name="O_1171724"/>
      <w:bookmarkEnd w:id="6"/>
      <w:r w:rsidRPr="003D6E33">
        <w:t>Foundation Skills</w:t>
      </w:r>
    </w:p>
    <w:p w:rsidR="00000000" w:rsidRPr="00427B7B" w:rsidP="00427B7B">
      <w:pPr>
        <w:pStyle w:val="BodyText"/>
        <w:rPr>
          <w:i/>
        </w:rPr>
      </w:pPr>
      <w:r w:rsidRPr="00427B7B">
        <w:rPr>
          <w:rStyle w:val="Emphasis"/>
        </w:rPr>
        <w:t>This section describes those language, literacy, numeracy and employment skills that are essential for performance in this unit of competency but are not explicit in the p</w:t>
      </w:r>
      <w:r w:rsidRPr="00427B7B">
        <w:rPr>
          <w:rStyle w:val="Emphasis"/>
        </w:rPr>
        <w:t>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Description</w:t>
            </w:r>
          </w:p>
        </w:tc>
      </w:tr>
      <w:tr w:rsidTr="003D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ListBullet"/>
              <w:rPr>
                <w:lang w:val="en-NZ"/>
              </w:rPr>
            </w:pPr>
            <w:r w:rsidRPr="003D6E33">
              <w:t>Interpret key information and quantities specified on product labels</w:t>
            </w:r>
          </w:p>
        </w:tc>
      </w:tr>
      <w:tr w:rsidTr="003D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ListBullet"/>
            </w:pPr>
            <w:r w:rsidRPr="003D6E33">
              <w:t>Measure quantities of food and/or health treatments accurately</w:t>
            </w:r>
          </w:p>
        </w:tc>
      </w:tr>
    </w:tbl>
    <w:p w:rsidR="00000000" w:rsidRPr="003D6E33" w:rsidP="003D6E33">
      <w:pPr>
        <w:pStyle w:val="BodyText"/>
      </w:pPr>
    </w:p>
    <w:p w:rsidR="00000000" w:rsidRPr="003D6E33" w:rsidP="003D6E33">
      <w:pPr>
        <w:pStyle w:val="AllowPageBreak"/>
      </w:pPr>
    </w:p>
    <w:p w:rsidR="00000000" w:rsidRPr="003D6E33" w:rsidP="003D6E33">
      <w:pPr>
        <w:pStyle w:val="Heading1"/>
      </w:pPr>
      <w:bookmarkStart w:id="7" w:name="O_1171726"/>
      <w:bookmarkEnd w:id="7"/>
      <w:r w:rsidRPr="003D6E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D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Bold"/>
              <w:rPr>
                <w:lang w:val="en-NZ"/>
              </w:rPr>
            </w:pPr>
            <w:r w:rsidRPr="003D6E33">
              <w:t>Equivalence status</w:t>
            </w:r>
          </w:p>
        </w:tc>
      </w:tr>
      <w:tr w:rsidTr="003D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ACMSPE318 Provide general care of fish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ACMSPE306 Provide basic care of marine fish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Redesigned unit</w:t>
            </w:r>
          </w:p>
          <w:p w:rsidR="00000000" w:rsidRPr="003D6E33" w:rsidP="003D6E33">
            <w:pPr>
              <w:pStyle w:val="BodyText"/>
            </w:pPr>
            <w:r w:rsidRPr="003D6E33">
              <w:rPr>
                <w:rStyle w:val="Emphasis"/>
              </w:rPr>
              <w:t>ACMSPE306 Provide basic care of marine fish</w:t>
            </w:r>
            <w:r w:rsidRPr="003D6E33">
              <w:t xml:space="preserve"> and </w:t>
            </w:r>
            <w:r w:rsidRPr="003D6E33">
              <w:rPr>
                <w:rStyle w:val="Emphasis"/>
              </w:rPr>
              <w:t>ACMSPE307 Provid</w:t>
            </w:r>
            <w:r w:rsidRPr="003D6E33">
              <w:rPr>
                <w:rStyle w:val="Emphasis"/>
              </w:rPr>
              <w:t>e basic care of freshwater fish</w:t>
            </w:r>
            <w:r w:rsidRPr="003D6E33">
              <w:t xml:space="preserve"> merged</w:t>
            </w:r>
          </w:p>
          <w:p w:rsidR="00000000" w:rsidRPr="003D6E33" w:rsidP="003D6E33">
            <w:pPr>
              <w:pStyle w:val="BodyText"/>
            </w:pPr>
            <w:r w:rsidRPr="003D6E33">
              <w:t xml:space="preserve">Minor changes to make content generic to fish </w:t>
            </w:r>
          </w:p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 xml:space="preserve">Assessment requirements updated to address marine and freshwater fish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Equivalent</w:t>
            </w:r>
          </w:p>
          <w:p w:rsidR="00000000" w:rsidP="003D6E33">
            <w:pPr>
              <w:pStyle w:val="BodyText"/>
              <w:rPr>
                <w:lang w:val="en-NZ"/>
              </w:rPr>
            </w:pPr>
          </w:p>
        </w:tc>
      </w:tr>
      <w:tr w:rsidTr="003D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ACMSPE318 Provide general care of fish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ACMSPE307 Provide basic care of freshwater fish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Redesigned unit</w:t>
            </w:r>
          </w:p>
          <w:p w:rsidR="00000000" w:rsidRPr="003D6E33" w:rsidP="003D6E33">
            <w:pPr>
              <w:pStyle w:val="BodyText"/>
            </w:pPr>
            <w:r w:rsidRPr="003D6E33">
              <w:rPr>
                <w:rStyle w:val="Emphasis"/>
              </w:rPr>
              <w:t>ACMSPE306 Provide basic care of marine fish</w:t>
            </w:r>
            <w:r w:rsidRPr="003D6E33">
              <w:t xml:space="preserve"> and </w:t>
            </w:r>
            <w:r w:rsidRPr="003D6E33">
              <w:rPr>
                <w:rStyle w:val="Emphasis"/>
              </w:rPr>
              <w:t>ACMSPE307 Provide basic care of freshwater fish</w:t>
            </w:r>
            <w:r w:rsidRPr="003D6E33">
              <w:t xml:space="preserve"> merged</w:t>
            </w:r>
          </w:p>
          <w:p w:rsidR="00000000" w:rsidRPr="003D6E33" w:rsidP="003D6E33">
            <w:pPr>
              <w:pStyle w:val="BodyText"/>
            </w:pPr>
            <w:r w:rsidRPr="003D6E33">
              <w:t xml:space="preserve">Minor changes to make content generic to fish </w:t>
            </w:r>
          </w:p>
          <w:p w:rsidR="00000000" w:rsidP="003D6E33">
            <w:pPr>
              <w:pStyle w:val="BodyText"/>
              <w:rPr>
                <w:lang w:val="en-NZ"/>
              </w:rPr>
            </w:pPr>
            <w:r w:rsidRPr="003D6E33">
              <w:t>Assessment requirements updated to address marine and freshwater fish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33" w:rsidP="003D6E33">
            <w:pPr>
              <w:pStyle w:val="BodyText"/>
            </w:pPr>
            <w:r w:rsidRPr="003D6E33">
              <w:t>Equivalent</w:t>
            </w:r>
          </w:p>
        </w:tc>
      </w:tr>
    </w:tbl>
    <w:p w:rsidR="00000000" w:rsidRPr="003D6E33" w:rsidP="003D6E33">
      <w:pPr>
        <w:pStyle w:val="BodyText"/>
      </w:pPr>
    </w:p>
    <w:p w:rsidR="00000000" w:rsidRPr="003D6E33" w:rsidP="003D6E33">
      <w:pPr>
        <w:pStyle w:val="AllowPageBreak"/>
      </w:pPr>
    </w:p>
    <w:p w:rsidR="00000000" w:rsidRPr="003D6E33" w:rsidP="003D6E33">
      <w:pPr>
        <w:pStyle w:val="Heading1"/>
      </w:pPr>
      <w:bookmarkStart w:id="8" w:name="O_1171733"/>
      <w:bookmarkEnd w:id="8"/>
      <w:r w:rsidRPr="003D6E33">
        <w:t>Links</w:t>
      </w:r>
    </w:p>
    <w:p w:rsidR="00000000" w:rsidRPr="003D6E33" w:rsidP="00427B7B">
      <w:pPr>
        <w:pStyle w:val="BodyText"/>
      </w:pPr>
      <w:r w:rsidRPr="003D6E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D56E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D6E33" w:rsidP="003D6E33"/>
    <w:sectPr w:rsidSect="003D6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33" w:rsidRPr="00427B7B" w:rsidP="00427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7B" w:rsidP="003D6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B7B" w:rsidP="003D6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7B7B" w:rsidP="003D6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E33" w:rsidRPr="00427B7B" w:rsidP="00427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7B" w:rsidRPr="002D2AF8" w:rsidP="003D6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ACMSPE318 Provide general care of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27B7B" w:rsidP="003D6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C45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F46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E33"/>
  </w:style>
  <w:style w:type="character" w:customStyle="1" w:styleId="Heading1Char">
    <w:name w:val="Heading 1 Char"/>
    <w:basedOn w:val="DefaultParagraphFont"/>
    <w:link w:val="Heading1"/>
    <w:rsid w:val="003D6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E3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D6E33"/>
    <w:rPr>
      <w:i/>
    </w:rPr>
  </w:style>
  <w:style w:type="paragraph" w:customStyle="1" w:styleId="SuperHeading">
    <w:name w:val="SuperHeading"/>
    <w:basedOn w:val="Normal"/>
    <w:rsid w:val="003D6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6E33"/>
    <w:rPr>
      <w:b/>
    </w:rPr>
  </w:style>
  <w:style w:type="character" w:customStyle="1" w:styleId="Heading2Char">
    <w:name w:val="Heading 2 Char"/>
    <w:basedOn w:val="DefaultParagraphFont"/>
    <w:link w:val="Heading2"/>
    <w:rsid w:val="003D6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6E33"/>
    <w:rPr>
      <w:b/>
      <w:spacing w:val="0"/>
    </w:rPr>
  </w:style>
  <w:style w:type="paragraph" w:customStyle="1" w:styleId="SuperTitle">
    <w:name w:val="SuperTitle"/>
    <w:basedOn w:val="Title"/>
    <w:rsid w:val="003D6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6E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6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E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E33"/>
  </w:style>
  <w:style w:type="paragraph" w:styleId="TableofFigures">
    <w:name w:val="table of figures"/>
    <w:basedOn w:val="Normal"/>
    <w:next w:val="Normal"/>
    <w:semiHidden/>
    <w:rsid w:val="003D6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E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6E33"/>
    <w:rPr>
      <w:rFonts w:ascii="Wingdings" w:hAnsi="Wingdings"/>
    </w:rPr>
  </w:style>
  <w:style w:type="paragraph" w:customStyle="1" w:styleId="TableHeading">
    <w:name w:val="Table Heading"/>
    <w:basedOn w:val="HeadingBase"/>
    <w:rsid w:val="003D6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E33"/>
    <w:rPr>
      <w:color w:val="0033CC"/>
      <w:u w:val="none"/>
    </w:rPr>
  </w:style>
  <w:style w:type="paragraph" w:customStyle="1" w:styleId="BodyTextRight">
    <w:name w:val="Body Text Right"/>
    <w:basedOn w:val="BodyText"/>
    <w:rsid w:val="003D6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E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E33"/>
    <w:rPr>
      <w:sz w:val="32"/>
    </w:rPr>
  </w:style>
  <w:style w:type="paragraph" w:customStyle="1" w:styleId="HeadingProcedure">
    <w:name w:val="Heading Procedure"/>
    <w:basedOn w:val="HeadingBase"/>
    <w:next w:val="Normal"/>
    <w:rsid w:val="003D6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E33"/>
    <w:pPr>
      <w:spacing w:before="60" w:after="60"/>
    </w:pPr>
  </w:style>
  <w:style w:type="paragraph" w:styleId="ListContinue">
    <w:name w:val="List Continue"/>
    <w:basedOn w:val="List"/>
    <w:rsid w:val="003D6E33"/>
    <w:pPr>
      <w:ind w:firstLine="0"/>
    </w:pPr>
  </w:style>
  <w:style w:type="paragraph" w:customStyle="1" w:styleId="ListNote">
    <w:name w:val="List Note"/>
    <w:basedOn w:val="List"/>
    <w:rsid w:val="003D6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E33"/>
    <w:rPr>
      <w:rFonts w:ascii="Courier New" w:hAnsi="Courier New"/>
    </w:rPr>
  </w:style>
  <w:style w:type="paragraph" w:customStyle="1" w:styleId="NoteBullet">
    <w:name w:val="Note Bullet"/>
    <w:basedOn w:val="Note"/>
    <w:rsid w:val="003D6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E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6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E33"/>
    <w:rPr>
      <w:b/>
      <w:smallCaps/>
    </w:rPr>
  </w:style>
  <w:style w:type="paragraph" w:customStyle="1" w:styleId="TableListNumber">
    <w:name w:val="Table List Number"/>
    <w:basedOn w:val="ListNumber"/>
    <w:rsid w:val="003D6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E33"/>
    <w:pPr>
      <w:numPr>
        <w:numId w:val="8"/>
      </w:numPr>
    </w:pPr>
  </w:style>
  <w:style w:type="paragraph" w:customStyle="1" w:styleId="ListAlpha2">
    <w:name w:val="List Alpha 2"/>
    <w:basedOn w:val="List2"/>
    <w:rsid w:val="003D6E33"/>
    <w:pPr>
      <w:numPr>
        <w:numId w:val="7"/>
      </w:numPr>
    </w:pPr>
  </w:style>
  <w:style w:type="paragraph" w:styleId="List2">
    <w:name w:val="List 2"/>
    <w:basedOn w:val="BodyText"/>
    <w:rsid w:val="003D6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E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E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6E33"/>
    <w:pPr>
      <w:numPr>
        <w:numId w:val="3"/>
      </w:numPr>
    </w:pPr>
  </w:style>
  <w:style w:type="paragraph" w:styleId="ListContinue2">
    <w:name w:val="List Continue 2"/>
    <w:basedOn w:val="List2"/>
    <w:rsid w:val="003D6E33"/>
    <w:pPr>
      <w:ind w:firstLine="0"/>
    </w:pPr>
  </w:style>
  <w:style w:type="paragraph" w:styleId="ListContinue3">
    <w:name w:val="List Continue 3"/>
    <w:basedOn w:val="List3"/>
    <w:rsid w:val="003D6E33"/>
    <w:pPr>
      <w:ind w:left="1021" w:firstLine="0"/>
    </w:pPr>
  </w:style>
  <w:style w:type="paragraph" w:styleId="ListContinue4">
    <w:name w:val="List Continue 4"/>
    <w:basedOn w:val="List4"/>
    <w:rsid w:val="003D6E33"/>
    <w:pPr>
      <w:ind w:firstLine="0"/>
    </w:pPr>
  </w:style>
  <w:style w:type="paragraph" w:styleId="ListContinue5">
    <w:name w:val="List Continue 5"/>
    <w:basedOn w:val="List5"/>
    <w:rsid w:val="003D6E33"/>
    <w:pPr>
      <w:ind w:firstLine="0"/>
    </w:pPr>
  </w:style>
  <w:style w:type="paragraph" w:styleId="ListNumber3">
    <w:name w:val="List Number 3"/>
    <w:basedOn w:val="List3"/>
    <w:rsid w:val="003D6E33"/>
    <w:pPr>
      <w:numPr>
        <w:numId w:val="4"/>
      </w:numPr>
    </w:pPr>
  </w:style>
  <w:style w:type="paragraph" w:styleId="ListNumber4">
    <w:name w:val="List Number 4"/>
    <w:basedOn w:val="List4"/>
    <w:rsid w:val="003D6E33"/>
    <w:pPr>
      <w:numPr>
        <w:numId w:val="5"/>
      </w:numPr>
    </w:pPr>
  </w:style>
  <w:style w:type="paragraph" w:styleId="ListNumber5">
    <w:name w:val="List Number 5"/>
    <w:basedOn w:val="List5"/>
    <w:rsid w:val="003D6E33"/>
    <w:pPr>
      <w:numPr>
        <w:numId w:val="6"/>
      </w:numPr>
    </w:pPr>
  </w:style>
  <w:style w:type="paragraph" w:styleId="BlockText">
    <w:name w:val="Block Text"/>
    <w:basedOn w:val="Normal"/>
    <w:rsid w:val="003D6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E33"/>
    <w:rPr>
      <w:sz w:val="16"/>
      <w:vertAlign w:val="superscript"/>
    </w:rPr>
  </w:style>
  <w:style w:type="character" w:customStyle="1" w:styleId="Symbols">
    <w:name w:val="Symbols"/>
    <w:basedOn w:val="DefaultParagraphFont"/>
    <w:rsid w:val="003D6E33"/>
    <w:rPr>
      <w:rFonts w:ascii="Symbol" w:hAnsi="Symbol"/>
    </w:rPr>
  </w:style>
  <w:style w:type="character" w:customStyle="1" w:styleId="MenuOptions">
    <w:name w:val="Menu Options"/>
    <w:basedOn w:val="DefaultParagraphFont"/>
    <w:rsid w:val="003D6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E33"/>
    <w:rPr>
      <w:b/>
    </w:rPr>
  </w:style>
  <w:style w:type="character" w:customStyle="1" w:styleId="Underlined">
    <w:name w:val="Underlined"/>
    <w:basedOn w:val="DefaultParagraphFont"/>
    <w:rsid w:val="003D6E33"/>
    <w:rPr>
      <w:u w:val="single"/>
    </w:rPr>
  </w:style>
  <w:style w:type="paragraph" w:customStyle="1" w:styleId="TableBodyTextRight">
    <w:name w:val="Table Body Text Right"/>
    <w:basedOn w:val="TableBodyText"/>
    <w:rsid w:val="003D6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E33"/>
    <w:rPr>
      <w:sz w:val="18"/>
    </w:rPr>
  </w:style>
  <w:style w:type="paragraph" w:customStyle="1" w:styleId="BodySmallRight">
    <w:name w:val="Body Small Right"/>
    <w:basedOn w:val="BodyTextRight"/>
    <w:rsid w:val="003D6E33"/>
    <w:rPr>
      <w:sz w:val="18"/>
      <w:szCs w:val="18"/>
    </w:rPr>
  </w:style>
  <w:style w:type="paragraph" w:customStyle="1" w:styleId="MarginEdition">
    <w:name w:val="Margin Edition"/>
    <w:basedOn w:val="MarginNote"/>
    <w:rsid w:val="003D6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E33"/>
    <w:rPr>
      <w:sz w:val="2"/>
      <w:szCs w:val="2"/>
    </w:rPr>
  </w:style>
  <w:style w:type="character" w:customStyle="1" w:styleId="Small">
    <w:name w:val="Small"/>
    <w:basedOn w:val="DefaultParagraphFont"/>
    <w:rsid w:val="003D6E33"/>
    <w:rPr>
      <w:sz w:val="16"/>
    </w:rPr>
  </w:style>
  <w:style w:type="paragraph" w:customStyle="1" w:styleId="WideTable">
    <w:name w:val="Wide Table"/>
    <w:basedOn w:val="Normal"/>
    <w:rsid w:val="003D6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E33"/>
  </w:style>
  <w:style w:type="paragraph" w:styleId="Quote">
    <w:name w:val="Quote"/>
    <w:basedOn w:val="Heading1"/>
    <w:link w:val="QuoteChar"/>
    <w:qFormat/>
    <w:rsid w:val="003D6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E33"/>
    <w:pPr>
      <w:pageBreakBefore/>
    </w:pPr>
  </w:style>
  <w:style w:type="paragraph" w:customStyle="1" w:styleId="Border">
    <w:name w:val="Border"/>
    <w:basedOn w:val="Normal"/>
    <w:qFormat/>
    <w:rsid w:val="003D6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E33"/>
    <w:rPr>
      <w:u w:val="single"/>
    </w:rPr>
  </w:style>
  <w:style w:type="character" w:customStyle="1" w:styleId="BoldandItalics">
    <w:name w:val="Bold and Italics"/>
    <w:qFormat/>
    <w:rsid w:val="003D6E33"/>
    <w:rPr>
      <w:b/>
      <w:i/>
      <w:u w:val="none"/>
    </w:rPr>
  </w:style>
  <w:style w:type="paragraph" w:styleId="BalloonText">
    <w:name w:val="Balloon Text"/>
    <w:basedOn w:val="Normal"/>
    <w:link w:val="BalloonTextChar"/>
    <w:rsid w:val="003D6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E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7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4391</Characters>
  <Application>Microsoft Office Word</Application>
  <DocSecurity>0</DocSecurity>
  <Lines>162</Lines>
  <Paragraphs>98</Paragraphs>
  <ScaleCrop>false</ScaleCrop>
  <Company>Author-it Software Corporation Ltd.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ACMSPE318 Provide general care of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