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61DF" w:rsidP="002761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ACMPHR503 Evaluate performance horse conformation</w:t>
      </w:r>
      <w:r>
        <w:fldChar w:fldCharType="end"/>
      </w:r>
    </w:p>
    <w:p w:rsidR="002761DF" w:rsidP="002761DF">
      <w:pPr>
        <w:pStyle w:val="Version"/>
        <w:sectPr w:rsidSect="006C1E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1E94" w:rsidP="006C1E94">
      <w:pPr>
        <w:pStyle w:val="SuperHeading"/>
      </w:pPr>
      <w:r w:rsidRPr="006C1E94">
        <w:t>Assessment Requirements for ACMPHR503 Evaluate performance horse conformation</w:t>
      </w:r>
    </w:p>
    <w:p w:rsidR="00000000" w:rsidRPr="006C1E94" w:rsidP="006C1E94">
      <w:pPr>
        <w:pStyle w:val="Heading1"/>
      </w:pPr>
      <w:bookmarkStart w:id="1" w:name="O_961743"/>
      <w:bookmarkEnd w:id="1"/>
      <w:r w:rsidRPr="006C1E94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6C1E9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E94" w:rsidP="006C1E94">
            <w:pPr>
              <w:pStyle w:val="BodyText"/>
            </w:pPr>
            <w:r w:rsidRPr="006C1E94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E94">
            <w:pPr>
              <w:pStyle w:val="BodyText"/>
              <w:rPr>
                <w:lang w:val="en-NZ"/>
              </w:rPr>
            </w:pPr>
            <w:r w:rsidRPr="006C1E94">
              <w:rPr>
                <w:rStyle w:val="SpecialBold"/>
              </w:rPr>
              <w:t>Comments</w:t>
            </w:r>
          </w:p>
        </w:tc>
      </w:tr>
      <w:tr w:rsidTr="006C1E9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E94">
            <w:pPr>
              <w:pStyle w:val="BodyText"/>
              <w:rPr>
                <w:lang w:val="en-NZ"/>
              </w:rPr>
            </w:pPr>
            <w:r w:rsidRPr="006C1E94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E94" w:rsidP="006C1E94">
            <w:pPr>
              <w:pStyle w:val="BodyText"/>
            </w:pPr>
            <w:r w:rsidRPr="006C1E94">
              <w:t>This version released with ACM Animal Care and Management Training Package Version 1.0</w:t>
            </w:r>
          </w:p>
        </w:tc>
      </w:tr>
    </w:tbl>
    <w:p w:rsidR="00000000" w:rsidRPr="006C1E94" w:rsidP="006C1E94">
      <w:pPr>
        <w:pStyle w:val="BodyText"/>
      </w:pPr>
    </w:p>
    <w:p w:rsidR="00000000" w:rsidRPr="006C1E94" w:rsidP="006C1E94">
      <w:pPr>
        <w:pStyle w:val="AllowPageBreak"/>
      </w:pPr>
    </w:p>
    <w:p w:rsidR="00000000" w:rsidRPr="006C1E94" w:rsidP="006C1E94">
      <w:pPr>
        <w:pStyle w:val="Heading1"/>
      </w:pPr>
      <w:bookmarkStart w:id="2" w:name="O_961744"/>
      <w:bookmarkEnd w:id="2"/>
      <w:r w:rsidRPr="006C1E94">
        <w:t>Performance Evidence</w:t>
      </w:r>
    </w:p>
    <w:p w:rsidR="00000000" w:rsidRPr="006C1E94" w:rsidP="002761DF">
      <w:pPr>
        <w:pStyle w:val="BodyText"/>
      </w:pPr>
      <w:r w:rsidRPr="006C1E94">
        <w:t>An individual demonstrating competency in this unit must satisfy all of the elements and performance criteria of this unit.</w:t>
      </w:r>
    </w:p>
    <w:p w:rsidR="00000000" w:rsidRPr="006C1E94" w:rsidP="002761DF">
      <w:pPr>
        <w:pStyle w:val="BodyText"/>
      </w:pPr>
      <w:r w:rsidRPr="006C1E94">
        <w:t>There must be evidence that the individual has observed, examined and evaluated the conformation of at least th</w:t>
      </w:r>
      <w:r w:rsidRPr="006C1E94">
        <w:t>ree horses, including at least one foal or other young horse, including:</w:t>
      </w:r>
    </w:p>
    <w:p w:rsidR="00000000" w:rsidRPr="006C1E94" w:rsidP="006C1E94">
      <w:pPr>
        <w:pStyle w:val="ListBullet"/>
      </w:pPr>
      <w:r w:rsidRPr="006C1E94">
        <w:t>handling horses safely and humanely during examinations and observations</w:t>
      </w:r>
    </w:p>
    <w:p w:rsidR="00000000" w:rsidRPr="006C1E94" w:rsidP="006C1E94">
      <w:pPr>
        <w:pStyle w:val="ListBullet"/>
      </w:pPr>
      <w:r w:rsidRPr="006C1E94">
        <w:t>reporting on the conformation of horses covering:</w:t>
      </w:r>
    </w:p>
    <w:p w:rsidR="00000000" w:rsidRPr="006C1E94" w:rsidP="006C1E94">
      <w:pPr>
        <w:pStyle w:val="ListBullet2"/>
      </w:pPr>
      <w:r w:rsidRPr="006C1E94">
        <w:t>desirable and undesirable conformational features</w:t>
      </w:r>
    </w:p>
    <w:p w:rsidR="00000000" w:rsidRPr="006C1E94" w:rsidP="006C1E94">
      <w:pPr>
        <w:pStyle w:val="ListBullet2"/>
      </w:pPr>
      <w:r w:rsidRPr="006C1E94">
        <w:t>requirements of established breed and sport standards</w:t>
      </w:r>
    </w:p>
    <w:p w:rsidR="00000000" w:rsidRPr="006C1E94" w:rsidP="006C1E94">
      <w:pPr>
        <w:pStyle w:val="ListBullet"/>
      </w:pPr>
      <w:r w:rsidRPr="006C1E94">
        <w:t>developing corrective action plans to manage undesirable characteristics and rectify conformation traits of individual horses</w:t>
      </w:r>
    </w:p>
    <w:p w:rsidR="00000000" w:rsidRPr="006C1E94" w:rsidP="006C1E94">
      <w:pPr>
        <w:pStyle w:val="ListBullet"/>
      </w:pPr>
      <w:r w:rsidRPr="006C1E94">
        <w:t>using health care practices, including bandaging and hoof care as part of c</w:t>
      </w:r>
      <w:r w:rsidRPr="006C1E94">
        <w:t>orrective action strategies</w:t>
      </w:r>
    </w:p>
    <w:p w:rsidR="00000000" w:rsidRPr="006C1E94" w:rsidP="006C1E94">
      <w:pPr>
        <w:pStyle w:val="ListBullet"/>
      </w:pPr>
      <w:r w:rsidRPr="006C1E94">
        <w:t>complying with regulatory requirements and workplace and industry procedures and practices relevant to role and evaluating performance horse conformation, including:</w:t>
      </w:r>
    </w:p>
    <w:p w:rsidR="00000000" w:rsidRPr="006C1E94" w:rsidP="006C1E94">
      <w:pPr>
        <w:pStyle w:val="ListBullet2"/>
      </w:pPr>
      <w:r w:rsidRPr="006C1E94">
        <w:t>animal welfare and prevention of cruelty to animals</w:t>
      </w:r>
    </w:p>
    <w:p w:rsidR="00000000" w:rsidRPr="006C1E94" w:rsidP="006C1E94">
      <w:pPr>
        <w:pStyle w:val="ListBullet2"/>
      </w:pPr>
      <w:r w:rsidRPr="006C1E94">
        <w:t>work heal</w:t>
      </w:r>
      <w:r w:rsidRPr="006C1E94">
        <w:t>th and safety.</w:t>
      </w:r>
    </w:p>
    <w:p w:rsidR="00000000" w:rsidRPr="006C1E94" w:rsidP="006C1E94">
      <w:pPr>
        <w:pStyle w:val="AllowPageBreak"/>
      </w:pPr>
    </w:p>
    <w:p w:rsidR="00000000" w:rsidRPr="006C1E94" w:rsidP="006C1E94">
      <w:pPr>
        <w:pStyle w:val="Heading1"/>
      </w:pPr>
      <w:bookmarkStart w:id="3" w:name="O_961745"/>
      <w:bookmarkEnd w:id="3"/>
      <w:r w:rsidRPr="006C1E94">
        <w:t>Knowledge Evidence</w:t>
      </w:r>
    </w:p>
    <w:p w:rsidR="00000000" w:rsidRPr="006C1E94" w:rsidP="002761DF">
      <w:pPr>
        <w:pStyle w:val="BodyText"/>
      </w:pPr>
      <w:r w:rsidRPr="006C1E94">
        <w:t>An individual must be able to demonstrate the knowledge required to perform the tasks outlined in the elements and performance criteria of this unit. This includes knowledge of:</w:t>
      </w:r>
    </w:p>
    <w:p w:rsidR="00000000" w:rsidRPr="006C1E94" w:rsidP="006C1E94">
      <w:pPr>
        <w:pStyle w:val="ListBullet"/>
      </w:pPr>
      <w:r w:rsidRPr="006C1E94">
        <w:t>techniques for analysing h</w:t>
      </w:r>
      <w:r w:rsidRPr="006C1E94">
        <w:t>orse conformation</w:t>
      </w:r>
    </w:p>
    <w:p w:rsidR="00000000" w:rsidRPr="006C1E94" w:rsidP="006C1E94">
      <w:pPr>
        <w:pStyle w:val="ListBullet"/>
      </w:pPr>
      <w:r w:rsidRPr="006C1E94">
        <w:t>desirable and undesirable conformation characteristics of horses</w:t>
      </w:r>
    </w:p>
    <w:p w:rsidR="00000000" w:rsidRPr="006C1E94" w:rsidP="006C1E94">
      <w:pPr>
        <w:pStyle w:val="ListBullet"/>
      </w:pPr>
      <w:r w:rsidRPr="006C1E94">
        <w:t>performance horse breeds and conformation characteristics</w:t>
      </w:r>
    </w:p>
    <w:p w:rsidR="00000000" w:rsidRPr="006C1E94" w:rsidP="006C1E94">
      <w:pPr>
        <w:pStyle w:val="ListBullet"/>
      </w:pPr>
      <w:r w:rsidRPr="006C1E94">
        <w:t>breed conformation standards of excellence</w:t>
      </w:r>
    </w:p>
    <w:p w:rsidR="00000000" w:rsidRPr="006C1E94" w:rsidP="006C1E94">
      <w:pPr>
        <w:pStyle w:val="ListBullet"/>
      </w:pPr>
      <w:r w:rsidRPr="006C1E94">
        <w:t>industry standard conformation terminology</w:t>
      </w:r>
    </w:p>
    <w:p w:rsidR="00000000" w:rsidRPr="006C1E94" w:rsidP="006C1E94">
      <w:pPr>
        <w:pStyle w:val="ListBullet"/>
      </w:pPr>
      <w:r w:rsidRPr="006C1E94">
        <w:t>performance horse sports and requirements</w:t>
      </w:r>
    </w:p>
    <w:p w:rsidR="00000000" w:rsidRPr="006C1E94" w:rsidP="006C1E94">
      <w:pPr>
        <w:pStyle w:val="ListBullet"/>
      </w:pPr>
      <w:r w:rsidRPr="006C1E94">
        <w:t>normal and abnormal features of horse gaits and movement</w:t>
      </w:r>
    </w:p>
    <w:p w:rsidR="00000000" w:rsidRPr="006C1E94" w:rsidP="006C1E94">
      <w:pPr>
        <w:pStyle w:val="ListBullet"/>
      </w:pPr>
      <w:r w:rsidRPr="006C1E94">
        <w:t>features of unsoundness and blemishes in horses and foals</w:t>
      </w:r>
    </w:p>
    <w:p w:rsidR="00000000" w:rsidRPr="006C1E94" w:rsidP="006C1E94">
      <w:pPr>
        <w:pStyle w:val="ListBullet"/>
      </w:pPr>
      <w:r w:rsidRPr="006C1E94">
        <w:t>veterinary procedures for correcting abnormal conformation, including for young horses</w:t>
      </w:r>
    </w:p>
    <w:p w:rsidR="00000000" w:rsidRPr="006C1E94" w:rsidP="006C1E94">
      <w:pPr>
        <w:pStyle w:val="ListBullet"/>
      </w:pPr>
      <w:r w:rsidRPr="006C1E94">
        <w:t>farriery pro</w:t>
      </w:r>
      <w:r w:rsidRPr="006C1E94">
        <w:t>cedures for correcting abnormal conformation, including for young horses</w:t>
      </w:r>
    </w:p>
    <w:p w:rsidR="00000000" w:rsidRPr="006C1E94" w:rsidP="006C1E94">
      <w:pPr>
        <w:pStyle w:val="ListBullet"/>
      </w:pPr>
      <w:r w:rsidRPr="006C1E94">
        <w:t>key features of horse husbandry practices</w:t>
      </w:r>
    </w:p>
    <w:p w:rsidR="00000000" w:rsidRPr="006C1E94" w:rsidP="006C1E94">
      <w:pPr>
        <w:pStyle w:val="ListBullet"/>
      </w:pPr>
      <w:r w:rsidRPr="006C1E94">
        <w:t>key requirements of work health and safety regulations and guidelines relating to:</w:t>
      </w:r>
    </w:p>
    <w:p w:rsidR="00000000" w:rsidRPr="006C1E94" w:rsidP="006C1E94">
      <w:pPr>
        <w:pStyle w:val="ListBullet2"/>
      </w:pPr>
      <w:r w:rsidRPr="006C1E94">
        <w:t>risk assessment, control and review</w:t>
      </w:r>
    </w:p>
    <w:p w:rsidR="00000000" w:rsidRPr="006C1E94" w:rsidP="006C1E94">
      <w:pPr>
        <w:pStyle w:val="ListBullet2"/>
      </w:pPr>
      <w:r w:rsidRPr="006C1E94">
        <w:t>safe horse handling t</w:t>
      </w:r>
      <w:r w:rsidRPr="006C1E94">
        <w:t>echniques</w:t>
      </w:r>
    </w:p>
    <w:p w:rsidR="00000000" w:rsidRPr="006C1E94" w:rsidP="006C1E94">
      <w:pPr>
        <w:pStyle w:val="ListBullet2"/>
      </w:pPr>
      <w:r w:rsidRPr="006C1E94">
        <w:t>personal protective equipment (PPE)</w:t>
      </w:r>
    </w:p>
    <w:p w:rsidR="00000000" w:rsidRPr="006C1E94" w:rsidP="006C1E94">
      <w:pPr>
        <w:pStyle w:val="ListBullet"/>
      </w:pPr>
      <w:r w:rsidRPr="006C1E94">
        <w:t>key requirements of animal welfare standards, policies and procedures relevant to the safe, humane and ethical care of horses.</w:t>
      </w:r>
    </w:p>
    <w:p w:rsidR="00000000" w:rsidRPr="006C1E94" w:rsidP="006C1E94">
      <w:pPr>
        <w:pStyle w:val="AllowPageBreak"/>
      </w:pPr>
    </w:p>
    <w:p w:rsidR="00000000" w:rsidRPr="006C1E94" w:rsidP="006C1E94">
      <w:pPr>
        <w:pStyle w:val="Heading1"/>
      </w:pPr>
      <w:bookmarkStart w:id="4" w:name="O_961746"/>
      <w:bookmarkEnd w:id="4"/>
      <w:r w:rsidRPr="006C1E94">
        <w:t>Assessment Conditions</w:t>
      </w:r>
    </w:p>
    <w:p w:rsidR="00000000" w:rsidRPr="006C1E94" w:rsidP="002761DF">
      <w:pPr>
        <w:pStyle w:val="BodyText"/>
      </w:pPr>
      <w:r w:rsidRPr="006C1E94">
        <w:t xml:space="preserve">Assessment of skills must take place under </w:t>
      </w:r>
      <w:r w:rsidRPr="006C1E94">
        <w:t>the following conditions:</w:t>
      </w:r>
    </w:p>
    <w:p w:rsidR="00000000" w:rsidRPr="006C1E94" w:rsidP="006C1E94">
      <w:pPr>
        <w:pStyle w:val="ListBullet"/>
      </w:pPr>
      <w:r w:rsidRPr="006C1E94">
        <w:t>physical conditions:</w:t>
      </w:r>
    </w:p>
    <w:p w:rsidR="00000000" w:rsidRPr="006C1E94" w:rsidP="006C1E94">
      <w:pPr>
        <w:pStyle w:val="ListBullet2"/>
      </w:pPr>
      <w:r w:rsidRPr="006C1E94">
        <w:t>a workplace or an environment that accurately represents workplace conditions</w:t>
      </w:r>
    </w:p>
    <w:p w:rsidR="00000000" w:rsidRPr="006C1E94" w:rsidP="006C1E94">
      <w:pPr>
        <w:pStyle w:val="ListBullet"/>
      </w:pPr>
      <w:r w:rsidRPr="006C1E94">
        <w:t>resources, equipment and materials:</w:t>
      </w:r>
    </w:p>
    <w:p w:rsidR="00000000" w:rsidRPr="006C1E94" w:rsidP="006C1E94">
      <w:pPr>
        <w:pStyle w:val="ListBullet2"/>
      </w:pPr>
      <w:r w:rsidRPr="006C1E94">
        <w:t xml:space="preserve">various live horses, including foals and young horses – note that young horses can be less </w:t>
      </w:r>
      <w:r w:rsidRPr="006C1E94">
        <w:t>compliant and highly reactive, and should be assessed as suitable for the experience and skill of the individual</w:t>
      </w:r>
    </w:p>
    <w:p w:rsidR="00000000" w:rsidRPr="006C1E94" w:rsidP="006C1E94">
      <w:pPr>
        <w:pStyle w:val="ListBullet2"/>
      </w:pPr>
      <w:r w:rsidRPr="006C1E94">
        <w:t>materials and information about horse conformation, or technology to access the information.</w:t>
      </w:r>
    </w:p>
    <w:p w:rsidR="00000000" w:rsidRPr="006C1E94" w:rsidP="006C1E94">
      <w:pPr>
        <w:pStyle w:val="BodyText"/>
      </w:pPr>
    </w:p>
    <w:p w:rsidR="00000000" w:rsidRPr="006C1E94" w:rsidP="002761DF">
      <w:pPr>
        <w:pStyle w:val="BodyText"/>
      </w:pPr>
      <w:r w:rsidRPr="006C1E94">
        <w:t>Training and assessment strategies must show evid</w:t>
      </w:r>
      <w:r w:rsidRPr="006C1E94">
        <w:t xml:space="preserve">ence of the use of guidance provided in the </w:t>
      </w:r>
      <w:r w:rsidRPr="006C1E94">
        <w:rPr>
          <w:rStyle w:val="Emphasis"/>
        </w:rPr>
        <w:t>Companion Volume: User Guide: Safety in Equine Training</w:t>
      </w:r>
      <w:r w:rsidRPr="006C1E94">
        <w:t>.</w:t>
      </w:r>
    </w:p>
    <w:p w:rsidR="00000000" w:rsidRPr="006C1E94" w:rsidP="002761DF">
      <w:pPr>
        <w:pStyle w:val="BodyText"/>
      </w:pPr>
      <w:r w:rsidRPr="006C1E94">
        <w:t>Assessors of this unit must satisfy the requirements for assessors in applicable vocational education and training legislation, frameworks and/or standards</w:t>
      </w:r>
      <w:r w:rsidRPr="006C1E94">
        <w:t>.</w:t>
      </w:r>
    </w:p>
    <w:p w:rsidR="00000000" w:rsidRPr="006C1E94" w:rsidP="006C1E94">
      <w:pPr>
        <w:pStyle w:val="Heading1"/>
      </w:pPr>
      <w:bookmarkStart w:id="5" w:name="O_961749"/>
      <w:bookmarkEnd w:id="5"/>
      <w:r w:rsidRPr="006C1E94">
        <w:t>Links</w:t>
      </w:r>
    </w:p>
    <w:p w:rsidR="00000000" w:rsidRPr="006C1E94" w:rsidP="002761DF">
      <w:pPr>
        <w:pStyle w:val="BodyText"/>
      </w:pPr>
      <w:r w:rsidRPr="006C1E9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3517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C1E94" w:rsidP="006C1E94"/>
    <w:sectPr w:rsidSect="006C1E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E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E94" w:rsidRPr="002761DF" w:rsidP="002761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E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1DF" w:rsidP="006C1E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E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1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1E94" w:rsidRPr="002761DF" w:rsidP="002761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E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1DF" w:rsidRPr="002D2AF8" w:rsidP="006C1E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ACMPHR503 Evaluate performance horse conformation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761DF" w:rsidP="006C1E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1ED5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98D9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861F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E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1E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1E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1E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1E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1E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1E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1E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1E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1E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1E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1E94"/>
  </w:style>
  <w:style w:type="character" w:customStyle="1" w:styleId="Heading1Char">
    <w:name w:val="Heading 1 Char"/>
    <w:basedOn w:val="DefaultParagraphFont"/>
    <w:link w:val="Heading1"/>
    <w:rsid w:val="006C1E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1E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1E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1E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1E94"/>
    <w:rPr>
      <w:b/>
      <w:spacing w:val="0"/>
    </w:rPr>
  </w:style>
  <w:style w:type="paragraph" w:styleId="ListBullet2">
    <w:name w:val="List Bullet 2"/>
    <w:basedOn w:val="List2"/>
    <w:rsid w:val="006C1E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C1E94"/>
    <w:rPr>
      <w:i/>
    </w:rPr>
  </w:style>
  <w:style w:type="paragraph" w:customStyle="1" w:styleId="SuperHeading">
    <w:name w:val="SuperHeading"/>
    <w:basedOn w:val="Normal"/>
    <w:rsid w:val="006C1E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1E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1E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1E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1E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1E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1E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1E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1E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1E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1E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1E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1E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1E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1E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1E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1E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1E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1E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1E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1E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1E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1E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1E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1E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1E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1E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1E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1E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1E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1E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1E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1E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1E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1E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1E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1E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1E94"/>
  </w:style>
  <w:style w:type="paragraph" w:styleId="TableofFigures">
    <w:name w:val="table of figures"/>
    <w:basedOn w:val="Normal"/>
    <w:next w:val="Normal"/>
    <w:semiHidden/>
    <w:rsid w:val="006C1E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1E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1E94"/>
    <w:rPr>
      <w:rFonts w:ascii="Wingdings" w:hAnsi="Wingdings"/>
    </w:rPr>
  </w:style>
  <w:style w:type="paragraph" w:customStyle="1" w:styleId="TableHeading">
    <w:name w:val="Table Heading"/>
    <w:basedOn w:val="HeadingBase"/>
    <w:rsid w:val="006C1E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1E94"/>
    <w:rPr>
      <w:color w:val="0033CC"/>
      <w:u w:val="none"/>
    </w:rPr>
  </w:style>
  <w:style w:type="paragraph" w:customStyle="1" w:styleId="BodyTextRight">
    <w:name w:val="Body Text Right"/>
    <w:basedOn w:val="BodyText"/>
    <w:rsid w:val="006C1E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1E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1E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1E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1E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1E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1E94"/>
    <w:rPr>
      <w:sz w:val="32"/>
    </w:rPr>
  </w:style>
  <w:style w:type="paragraph" w:customStyle="1" w:styleId="HeadingProcedure">
    <w:name w:val="Heading Procedure"/>
    <w:basedOn w:val="HeadingBase"/>
    <w:next w:val="Normal"/>
    <w:rsid w:val="006C1E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1E94"/>
    <w:pPr>
      <w:spacing w:before="60" w:after="60"/>
    </w:pPr>
  </w:style>
  <w:style w:type="paragraph" w:styleId="ListContinue">
    <w:name w:val="List Continue"/>
    <w:basedOn w:val="List"/>
    <w:rsid w:val="006C1E94"/>
    <w:pPr>
      <w:ind w:firstLine="0"/>
    </w:pPr>
  </w:style>
  <w:style w:type="paragraph" w:customStyle="1" w:styleId="ListNote">
    <w:name w:val="List Note"/>
    <w:basedOn w:val="List"/>
    <w:rsid w:val="006C1E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1E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1E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1E94"/>
    <w:rPr>
      <w:rFonts w:ascii="Courier New" w:hAnsi="Courier New"/>
    </w:rPr>
  </w:style>
  <w:style w:type="paragraph" w:customStyle="1" w:styleId="NoteBullet">
    <w:name w:val="Note Bullet"/>
    <w:basedOn w:val="Note"/>
    <w:rsid w:val="006C1E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1E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1E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1E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1E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1E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1E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1E94"/>
    <w:rPr>
      <w:b/>
      <w:smallCaps/>
    </w:rPr>
  </w:style>
  <w:style w:type="paragraph" w:customStyle="1" w:styleId="TableListNumber">
    <w:name w:val="Table List Number"/>
    <w:basedOn w:val="ListNumber"/>
    <w:rsid w:val="006C1E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1E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1E94"/>
    <w:pPr>
      <w:numPr>
        <w:numId w:val="9"/>
      </w:numPr>
    </w:pPr>
  </w:style>
  <w:style w:type="paragraph" w:customStyle="1" w:styleId="ListAlpha2">
    <w:name w:val="List Alpha 2"/>
    <w:basedOn w:val="List2"/>
    <w:rsid w:val="006C1E94"/>
    <w:pPr>
      <w:numPr>
        <w:numId w:val="8"/>
      </w:numPr>
    </w:pPr>
  </w:style>
  <w:style w:type="paragraph" w:styleId="List2">
    <w:name w:val="List 2"/>
    <w:basedOn w:val="BodyText"/>
    <w:rsid w:val="006C1E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1E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1E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1E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1E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1E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1E94"/>
    <w:pPr>
      <w:numPr>
        <w:numId w:val="4"/>
      </w:numPr>
    </w:pPr>
  </w:style>
  <w:style w:type="paragraph" w:styleId="ListContinue2">
    <w:name w:val="List Continue 2"/>
    <w:basedOn w:val="List2"/>
    <w:rsid w:val="006C1E94"/>
    <w:pPr>
      <w:ind w:firstLine="0"/>
    </w:pPr>
  </w:style>
  <w:style w:type="paragraph" w:styleId="ListContinue3">
    <w:name w:val="List Continue 3"/>
    <w:basedOn w:val="List3"/>
    <w:rsid w:val="006C1E94"/>
    <w:pPr>
      <w:ind w:left="1021" w:firstLine="0"/>
    </w:pPr>
  </w:style>
  <w:style w:type="paragraph" w:styleId="ListContinue4">
    <w:name w:val="List Continue 4"/>
    <w:basedOn w:val="List4"/>
    <w:rsid w:val="006C1E94"/>
    <w:pPr>
      <w:ind w:firstLine="0"/>
    </w:pPr>
  </w:style>
  <w:style w:type="paragraph" w:styleId="ListContinue5">
    <w:name w:val="List Continue 5"/>
    <w:basedOn w:val="List5"/>
    <w:rsid w:val="006C1E94"/>
    <w:pPr>
      <w:ind w:firstLine="0"/>
    </w:pPr>
  </w:style>
  <w:style w:type="paragraph" w:styleId="ListNumber3">
    <w:name w:val="List Number 3"/>
    <w:basedOn w:val="List3"/>
    <w:rsid w:val="006C1E94"/>
    <w:pPr>
      <w:numPr>
        <w:numId w:val="5"/>
      </w:numPr>
    </w:pPr>
  </w:style>
  <w:style w:type="paragraph" w:styleId="ListNumber4">
    <w:name w:val="List Number 4"/>
    <w:basedOn w:val="List4"/>
    <w:rsid w:val="006C1E94"/>
    <w:pPr>
      <w:numPr>
        <w:numId w:val="6"/>
      </w:numPr>
    </w:pPr>
  </w:style>
  <w:style w:type="paragraph" w:styleId="ListNumber5">
    <w:name w:val="List Number 5"/>
    <w:basedOn w:val="List5"/>
    <w:rsid w:val="006C1E94"/>
    <w:pPr>
      <w:numPr>
        <w:numId w:val="7"/>
      </w:numPr>
    </w:pPr>
  </w:style>
  <w:style w:type="paragraph" w:styleId="BlockText">
    <w:name w:val="Block Text"/>
    <w:basedOn w:val="Normal"/>
    <w:rsid w:val="006C1E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1E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1E94"/>
    <w:rPr>
      <w:sz w:val="16"/>
      <w:vertAlign w:val="superscript"/>
    </w:rPr>
  </w:style>
  <w:style w:type="character" w:customStyle="1" w:styleId="Symbols">
    <w:name w:val="Symbols"/>
    <w:basedOn w:val="DefaultParagraphFont"/>
    <w:rsid w:val="006C1E94"/>
    <w:rPr>
      <w:rFonts w:ascii="Symbol" w:hAnsi="Symbol"/>
    </w:rPr>
  </w:style>
  <w:style w:type="character" w:customStyle="1" w:styleId="MenuOptions">
    <w:name w:val="Menu Options"/>
    <w:basedOn w:val="DefaultParagraphFont"/>
    <w:rsid w:val="006C1E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1E94"/>
    <w:rPr>
      <w:b/>
    </w:rPr>
  </w:style>
  <w:style w:type="character" w:customStyle="1" w:styleId="Underlined">
    <w:name w:val="Underlined"/>
    <w:basedOn w:val="DefaultParagraphFont"/>
    <w:rsid w:val="006C1E94"/>
    <w:rPr>
      <w:u w:val="single"/>
    </w:rPr>
  </w:style>
  <w:style w:type="paragraph" w:customStyle="1" w:styleId="TableBodyTextRight">
    <w:name w:val="Table Body Text Right"/>
    <w:basedOn w:val="TableBodyText"/>
    <w:rsid w:val="006C1E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1E94"/>
    <w:rPr>
      <w:sz w:val="18"/>
    </w:rPr>
  </w:style>
  <w:style w:type="paragraph" w:customStyle="1" w:styleId="BodySmallRight">
    <w:name w:val="Body Small Right"/>
    <w:basedOn w:val="BodyTextRight"/>
    <w:rsid w:val="006C1E94"/>
    <w:rPr>
      <w:sz w:val="18"/>
      <w:szCs w:val="18"/>
    </w:rPr>
  </w:style>
  <w:style w:type="paragraph" w:customStyle="1" w:styleId="MarginEdition">
    <w:name w:val="Margin Edition"/>
    <w:basedOn w:val="MarginNote"/>
    <w:rsid w:val="006C1E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1E94"/>
    <w:rPr>
      <w:sz w:val="2"/>
      <w:szCs w:val="2"/>
    </w:rPr>
  </w:style>
  <w:style w:type="character" w:customStyle="1" w:styleId="Small">
    <w:name w:val="Small"/>
    <w:basedOn w:val="DefaultParagraphFont"/>
    <w:rsid w:val="006C1E94"/>
    <w:rPr>
      <w:sz w:val="16"/>
    </w:rPr>
  </w:style>
  <w:style w:type="paragraph" w:customStyle="1" w:styleId="WideTable">
    <w:name w:val="Wide Table"/>
    <w:basedOn w:val="Normal"/>
    <w:rsid w:val="006C1E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1E94"/>
  </w:style>
  <w:style w:type="paragraph" w:styleId="Quote">
    <w:name w:val="Quote"/>
    <w:basedOn w:val="Heading1"/>
    <w:link w:val="QuoteChar"/>
    <w:qFormat/>
    <w:rsid w:val="006C1E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1E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1E94"/>
    <w:pPr>
      <w:pageBreakBefore/>
    </w:pPr>
  </w:style>
  <w:style w:type="paragraph" w:customStyle="1" w:styleId="Border">
    <w:name w:val="Border"/>
    <w:basedOn w:val="Normal"/>
    <w:qFormat/>
    <w:rsid w:val="006C1E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1E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E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E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1E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1E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1E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1E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1E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1E94"/>
    <w:rPr>
      <w:u w:val="single"/>
    </w:rPr>
  </w:style>
  <w:style w:type="character" w:customStyle="1" w:styleId="BoldandItalics">
    <w:name w:val="Bold and Italics"/>
    <w:qFormat/>
    <w:rsid w:val="006C1E94"/>
    <w:rPr>
      <w:b/>
      <w:i/>
      <w:u w:val="none"/>
    </w:rPr>
  </w:style>
  <w:style w:type="paragraph" w:styleId="BalloonText">
    <w:name w:val="Balloon Text"/>
    <w:basedOn w:val="Normal"/>
    <w:link w:val="BalloonTextChar"/>
    <w:rsid w:val="006C1E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1E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1E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1E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1E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1E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1E94"/>
    <w:pPr>
      <w:spacing w:before="0" w:after="0"/>
    </w:pPr>
  </w:style>
  <w:style w:type="paragraph" w:customStyle="1" w:styleId="BodyTextBold">
    <w:name w:val="Body Text Bold"/>
    <w:basedOn w:val="BodyText"/>
    <w:qFormat/>
    <w:rsid w:val="006C1E94"/>
    <w:rPr>
      <w:b/>
    </w:rPr>
  </w:style>
  <w:style w:type="character" w:styleId="Hyperlink">
    <w:name w:val="Hyperlink"/>
    <w:basedOn w:val="DefaultParagraphFont"/>
    <w:uiPriority w:val="99"/>
    <w:unhideWhenUsed/>
    <w:rsid w:val="002761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3167</Characters>
  <Application>Microsoft Office Word</Application>
  <DocSecurity>0</DocSecurity>
  <Lines>77</Lines>
  <Paragraphs>58</Paragraphs>
  <ScaleCrop>false</ScaleCrop>
  <Company>Author-it Software Corporation Ltd.</Company>
  <LinksUpToDate>false</LinksUpToDate>
  <CharactersWithSpaces>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ACMPHR503 Evaluate performance horse conformation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2022-12-13T02:09:00Z</dcterms:created>
  <dcterms:modified xsi:type="dcterms:W3CDTF">2022-12-13T02:09:00Z</dcterms:modified>
</cp:coreProperties>
</file>