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091" w:rsidP="00364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ACMPHR408 Educate and train performance horses</w:t>
      </w:r>
      <w:r>
        <w:fldChar w:fldCharType="end"/>
      </w:r>
    </w:p>
    <w:p w:rsidR="00364091" w:rsidP="00364091">
      <w:pPr>
        <w:pStyle w:val="Version"/>
        <w:sectPr w:rsidSect="00B72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C96" w:rsidP="00B72C96">
      <w:pPr>
        <w:pStyle w:val="SuperHeading"/>
      </w:pPr>
      <w:r w:rsidRPr="00B72C96">
        <w:t>Assessment Requirements for ACMPHR408 Educate and train performance horses</w:t>
      </w:r>
    </w:p>
    <w:p w:rsidR="00000000" w:rsidRPr="00B72C96" w:rsidP="00B72C96">
      <w:pPr>
        <w:pStyle w:val="Heading1"/>
      </w:pPr>
      <w:bookmarkStart w:id="1" w:name="O_961705"/>
      <w:bookmarkEnd w:id="1"/>
      <w:r w:rsidRPr="00B72C9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72C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6" w:rsidP="00B72C96">
            <w:pPr>
              <w:pStyle w:val="BodyText"/>
            </w:pPr>
            <w:r w:rsidRPr="00B72C9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6">
            <w:pPr>
              <w:pStyle w:val="BodyText"/>
              <w:rPr>
                <w:lang w:val="en-NZ"/>
              </w:rPr>
            </w:pPr>
            <w:r w:rsidRPr="00B72C96">
              <w:rPr>
                <w:rStyle w:val="SpecialBold"/>
              </w:rPr>
              <w:t>Comments</w:t>
            </w:r>
          </w:p>
        </w:tc>
      </w:tr>
      <w:tr w:rsidTr="00B72C9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C96">
            <w:pPr>
              <w:pStyle w:val="BodyText"/>
              <w:rPr>
                <w:lang w:val="en-NZ"/>
              </w:rPr>
            </w:pPr>
            <w:r w:rsidRPr="00B72C9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C96" w:rsidP="00B72C96">
            <w:pPr>
              <w:pStyle w:val="BodyText"/>
            </w:pPr>
            <w:r w:rsidRPr="00B72C96">
              <w:t>This version released with ACM Animal Care and Management Training Package Version 1.0</w:t>
            </w:r>
          </w:p>
        </w:tc>
      </w:tr>
    </w:tbl>
    <w:p w:rsidR="00000000" w:rsidRPr="00B72C96" w:rsidP="00B72C96">
      <w:pPr>
        <w:pStyle w:val="BodyText"/>
      </w:pPr>
    </w:p>
    <w:p w:rsidR="00000000" w:rsidRPr="00B72C96" w:rsidP="00B72C96">
      <w:pPr>
        <w:pStyle w:val="AllowPageBreak"/>
      </w:pPr>
    </w:p>
    <w:p w:rsidR="00000000" w:rsidRPr="00B72C96" w:rsidP="00B72C96">
      <w:pPr>
        <w:pStyle w:val="Heading1"/>
      </w:pPr>
      <w:bookmarkStart w:id="2" w:name="O_961706"/>
      <w:bookmarkEnd w:id="2"/>
      <w:r w:rsidRPr="00B72C96">
        <w:t>Performance Evidence</w:t>
      </w:r>
    </w:p>
    <w:p w:rsidR="00000000" w:rsidRPr="00B72C96" w:rsidP="00364091">
      <w:pPr>
        <w:pStyle w:val="BodyText"/>
      </w:pPr>
      <w:r w:rsidRPr="00B72C96">
        <w:t xml:space="preserve">An individual demonstrating competency must satisfy all the elements and performance criteria of this unit. </w:t>
      </w:r>
    </w:p>
    <w:p w:rsidR="00000000" w:rsidRPr="00B72C96" w:rsidP="00364091">
      <w:pPr>
        <w:pStyle w:val="BodyText"/>
      </w:pPr>
      <w:r w:rsidRPr="00B72C96">
        <w:t xml:space="preserve">There must be evidence that the individual has educated and trained at least two performance horses, including a young horse, </w:t>
      </w:r>
      <w:r w:rsidRPr="00B72C96">
        <w:t>and either a horse demonstrating unwanted behaviour or an untrained horse, including:</w:t>
      </w:r>
    </w:p>
    <w:p w:rsidR="00000000" w:rsidRPr="00B72C96" w:rsidP="00B72C96">
      <w:pPr>
        <w:pStyle w:val="ListBullet"/>
      </w:pPr>
      <w:r w:rsidRPr="00B72C96">
        <w:t>interpreting behavioural responses of horses to training and proactively anticipating likely behavioural responses of horses, including young horses, to training program</w:t>
      </w:r>
      <w:r w:rsidRPr="00B72C96">
        <w:t xml:space="preserve"> and the environment under saddle and in-hand</w:t>
      </w:r>
    </w:p>
    <w:p w:rsidR="00000000" w:rsidRPr="00B72C96" w:rsidP="00B72C96">
      <w:pPr>
        <w:pStyle w:val="ListBullet"/>
      </w:pPr>
      <w:r w:rsidRPr="00B72C96">
        <w:t>handling horses in-hand at a high level of technical proficiency and safety for the relevant discipline</w:t>
      </w:r>
    </w:p>
    <w:p w:rsidR="00000000" w:rsidRPr="00B72C96" w:rsidP="00B72C96">
      <w:pPr>
        <w:pStyle w:val="ListBullet"/>
      </w:pPr>
      <w:r w:rsidRPr="00B72C96">
        <w:t>riding horses at a high level of technical proficiency and safety for the relevant discipline</w:t>
      </w:r>
    </w:p>
    <w:p w:rsidR="00000000" w:rsidRPr="00B72C96" w:rsidP="00B72C96">
      <w:pPr>
        <w:pStyle w:val="ListBullet"/>
      </w:pPr>
      <w:r w:rsidRPr="00B72C96">
        <w:t>undertaking health inspections and temperament evaluations</w:t>
      </w:r>
    </w:p>
    <w:p w:rsidR="00000000" w:rsidRPr="00B72C96" w:rsidP="00B72C96">
      <w:pPr>
        <w:pStyle w:val="ListBullet"/>
      </w:pPr>
      <w:r w:rsidRPr="00B72C96">
        <w:t>developing training programs to deliver humane training outcomes using relevant research findings in equine cognition, ethology and behaviour</w:t>
      </w:r>
    </w:p>
    <w:p w:rsidR="00000000" w:rsidRPr="00B72C96" w:rsidP="00B72C96">
      <w:pPr>
        <w:pStyle w:val="ListBullet"/>
      </w:pPr>
      <w:r w:rsidRPr="00B72C96">
        <w:t>designing and implementing training techniques, applyin</w:t>
      </w:r>
      <w:r w:rsidRPr="00B72C96">
        <w:t>g knowledge of equine anatomy, physiology and biomechanics</w:t>
      </w:r>
    </w:p>
    <w:p w:rsidR="00000000" w:rsidRPr="00B72C96" w:rsidP="00B72C96">
      <w:pPr>
        <w:pStyle w:val="ListBullet"/>
      </w:pPr>
      <w:r w:rsidRPr="00B72C96">
        <w:t>developing a sequential training program for individual horses based on horse cognitive capacities and current physical fitness to cope with the demands of the program as it progresses</w:t>
      </w:r>
    </w:p>
    <w:p w:rsidR="00000000" w:rsidRPr="00B72C96" w:rsidP="00B72C96">
      <w:pPr>
        <w:pStyle w:val="ListBullet"/>
      </w:pPr>
      <w:r w:rsidRPr="00B72C96">
        <w:t>adapting tra</w:t>
      </w:r>
      <w:r w:rsidRPr="00B72C96">
        <w:t>ining programs based on the horse behaviour, fitness and health</w:t>
      </w:r>
    </w:p>
    <w:p w:rsidR="00000000" w:rsidRPr="00B72C96" w:rsidP="00B72C96">
      <w:pPr>
        <w:pStyle w:val="ListBullet"/>
      </w:pPr>
      <w:r w:rsidRPr="00B72C96">
        <w:t>using equipment appropriately and humanely to achieve training outcomes</w:t>
      </w:r>
    </w:p>
    <w:p w:rsidR="00000000" w:rsidRPr="00B72C96" w:rsidP="00B72C96">
      <w:pPr>
        <w:pStyle w:val="ListBullet"/>
      </w:pPr>
      <w:r w:rsidRPr="00B72C96">
        <w:t xml:space="preserve">working proactively with veterinarians, farriers and allied health professionals to manage horse health during training </w:t>
      </w:r>
      <w:r w:rsidRPr="00B72C96">
        <w:t>program</w:t>
      </w:r>
    </w:p>
    <w:p w:rsidR="00000000" w:rsidRPr="00B72C96" w:rsidP="00B72C96">
      <w:pPr>
        <w:pStyle w:val="ListBullet"/>
      </w:pPr>
      <w:r w:rsidRPr="00B72C96">
        <w:t>adhering to regulatory requirements and workplace and industry procedures and practices relevant to role and training performance horses, including:</w:t>
      </w:r>
    </w:p>
    <w:p w:rsidR="00000000" w:rsidRPr="00B72C96" w:rsidP="00B72C96">
      <w:pPr>
        <w:pStyle w:val="ListBullet2"/>
      </w:pPr>
      <w:r w:rsidRPr="00B72C96">
        <w:t>animal welfare and prevention of cruelty to animals</w:t>
      </w:r>
    </w:p>
    <w:p w:rsidR="00000000" w:rsidRPr="00B72C96" w:rsidP="00B72C96">
      <w:pPr>
        <w:pStyle w:val="ListBullet2"/>
      </w:pPr>
      <w:r w:rsidRPr="00B72C96">
        <w:t>work health and safety (WHS)</w:t>
      </w:r>
    </w:p>
    <w:p w:rsidR="00000000" w:rsidRPr="00B72C96" w:rsidP="00B72C96">
      <w:pPr>
        <w:pStyle w:val="ListBullet2"/>
      </w:pPr>
      <w:r w:rsidRPr="00B72C96">
        <w:t>biosecurity</w:t>
      </w:r>
    </w:p>
    <w:p w:rsidR="00000000" w:rsidRPr="00B72C96" w:rsidP="00B72C96">
      <w:pPr>
        <w:pStyle w:val="ListBullet2"/>
      </w:pPr>
      <w:r w:rsidRPr="00B72C96">
        <w:t>envir</w:t>
      </w:r>
      <w:r w:rsidRPr="00B72C96">
        <w:t>onment and sustainability.</w:t>
      </w:r>
    </w:p>
    <w:p w:rsidR="00000000" w:rsidRPr="00B72C96" w:rsidP="00B72C96">
      <w:pPr>
        <w:pStyle w:val="AllowPageBreak"/>
      </w:pPr>
    </w:p>
    <w:p w:rsidR="00000000" w:rsidRPr="00B72C96" w:rsidP="00B72C96">
      <w:pPr>
        <w:pStyle w:val="Heading1"/>
      </w:pPr>
      <w:bookmarkStart w:id="3" w:name="O_961707"/>
      <w:bookmarkEnd w:id="3"/>
      <w:r w:rsidRPr="00B72C96">
        <w:t>Knowledge Evidence</w:t>
      </w:r>
    </w:p>
    <w:p w:rsidR="00000000" w:rsidRPr="00B72C96" w:rsidP="00364091">
      <w:pPr>
        <w:pStyle w:val="BodyText"/>
      </w:pPr>
      <w:r w:rsidRPr="00B72C96">
        <w:t>An individual must be able to demonstrate the knowledge required to perform the tasks outlined in the elements and performance criteria of this unit. This includes knowledge of:</w:t>
      </w:r>
    </w:p>
    <w:p w:rsidR="00000000" w:rsidRPr="00B72C96" w:rsidP="00B72C96">
      <w:pPr>
        <w:pStyle w:val="ListBullet"/>
      </w:pPr>
      <w:r w:rsidRPr="00B72C96">
        <w:t>current scientific findings on equine cognition, intelligence, ethology and learning abilities relevant to training horses</w:t>
      </w:r>
    </w:p>
    <w:p w:rsidR="00000000" w:rsidRPr="00B72C96" w:rsidP="00B72C96">
      <w:pPr>
        <w:pStyle w:val="ListBullet"/>
      </w:pPr>
      <w:r w:rsidRPr="00B72C96">
        <w:t>equine behaviour, including:</w:t>
      </w:r>
    </w:p>
    <w:p w:rsidR="00000000" w:rsidRPr="00B72C96" w:rsidP="00B72C96">
      <w:pPr>
        <w:pStyle w:val="ListBullet2"/>
      </w:pPr>
      <w:r w:rsidRPr="00B72C96">
        <w:t>body language</w:t>
      </w:r>
    </w:p>
    <w:p w:rsidR="00000000" w:rsidRPr="00B72C96" w:rsidP="00B72C96">
      <w:pPr>
        <w:pStyle w:val="ListBullet2"/>
      </w:pPr>
      <w:r w:rsidRPr="00B72C96">
        <w:t>vocalisations</w:t>
      </w:r>
    </w:p>
    <w:p w:rsidR="00000000" w:rsidRPr="00B72C96" w:rsidP="00B72C96">
      <w:pPr>
        <w:pStyle w:val="ListBullet2"/>
      </w:pPr>
      <w:r w:rsidRPr="00B72C96">
        <w:t>affective states, including fear, anxiety, hunger, fatigue</w:t>
      </w:r>
    </w:p>
    <w:p w:rsidR="00000000" w:rsidRPr="00B72C96" w:rsidP="00B72C96">
      <w:pPr>
        <w:pStyle w:val="ListBullet"/>
      </w:pPr>
      <w:r w:rsidRPr="00B72C96">
        <w:t>behaviour modif</w:t>
      </w:r>
      <w:r w:rsidRPr="00B72C96">
        <w:t>ication techniques</w:t>
      </w:r>
    </w:p>
    <w:p w:rsidR="00000000" w:rsidRPr="00B72C96" w:rsidP="00B72C96">
      <w:pPr>
        <w:pStyle w:val="ListBullet"/>
      </w:pPr>
      <w:r w:rsidRPr="00B72C96">
        <w:t>services of trainers and specialists with expertise relevant to the training goals, sport or discipline</w:t>
      </w:r>
    </w:p>
    <w:p w:rsidR="00000000" w:rsidRPr="00B72C96" w:rsidP="00B72C96">
      <w:pPr>
        <w:pStyle w:val="ListBullet"/>
      </w:pPr>
      <w:r w:rsidRPr="00B72C96">
        <w:t>key features of equine anatomy, physiology and biomechanics</w:t>
      </w:r>
    </w:p>
    <w:p w:rsidR="00000000" w:rsidRPr="00B72C96" w:rsidP="00B72C96">
      <w:pPr>
        <w:pStyle w:val="ListBullet"/>
      </w:pPr>
      <w:r w:rsidRPr="00B72C96">
        <w:t>purpose, function and operation of training equipment</w:t>
      </w:r>
    </w:p>
    <w:p w:rsidR="00000000" w:rsidRPr="00B72C96" w:rsidP="00B72C96">
      <w:pPr>
        <w:pStyle w:val="ListBullet"/>
      </w:pPr>
      <w:r w:rsidRPr="00B72C96">
        <w:t>specific requiremen</w:t>
      </w:r>
      <w:r w:rsidRPr="00B72C96">
        <w:t>ts of the discipline in which the horse is to be trained</w:t>
      </w:r>
    </w:p>
    <w:p w:rsidR="00000000" w:rsidRPr="00B72C96" w:rsidP="00B72C96">
      <w:pPr>
        <w:pStyle w:val="ListBullet"/>
      </w:pPr>
      <w:r w:rsidRPr="00B72C96">
        <w:t>specific limitations and requirements of young horses undergoing training</w:t>
      </w:r>
    </w:p>
    <w:p w:rsidR="00000000" w:rsidRPr="00B72C96" w:rsidP="00B72C96">
      <w:pPr>
        <w:pStyle w:val="ListBullet"/>
      </w:pPr>
      <w:r w:rsidRPr="00B72C96">
        <w:t xml:space="preserve">signs of stress, fatigue, lameness or other health issues, and when the services of a veterinarian, farrier or allied health </w:t>
      </w:r>
      <w:r w:rsidRPr="00B72C96">
        <w:t>professional may be required</w:t>
      </w:r>
    </w:p>
    <w:p w:rsidR="00000000" w:rsidRPr="00B72C96" w:rsidP="00B72C96">
      <w:pPr>
        <w:pStyle w:val="ListBullet"/>
      </w:pPr>
      <w:r w:rsidRPr="00B72C96">
        <w:t>key requirements of work health and safety regulations and guidelines relating to:</w:t>
      </w:r>
    </w:p>
    <w:p w:rsidR="00000000" w:rsidRPr="00B72C96" w:rsidP="00B72C96">
      <w:pPr>
        <w:pStyle w:val="ListBullet2"/>
      </w:pPr>
      <w:r w:rsidRPr="00B72C96">
        <w:t>risk assessment, control and review</w:t>
      </w:r>
    </w:p>
    <w:p w:rsidR="00000000" w:rsidRPr="00B72C96" w:rsidP="00B72C96">
      <w:pPr>
        <w:pStyle w:val="ListBullet2"/>
      </w:pPr>
      <w:r w:rsidRPr="00B72C96">
        <w:t>due diligence for staff and other personnel</w:t>
      </w:r>
    </w:p>
    <w:p w:rsidR="00000000" w:rsidRPr="00B72C96" w:rsidP="00B72C96">
      <w:pPr>
        <w:pStyle w:val="ListBullet2"/>
      </w:pPr>
      <w:r w:rsidRPr="00B72C96">
        <w:t>safe horse handling techniques</w:t>
      </w:r>
    </w:p>
    <w:p w:rsidR="00000000" w:rsidRPr="00B72C96" w:rsidP="00B72C96">
      <w:pPr>
        <w:pStyle w:val="ListBullet2"/>
      </w:pPr>
      <w:r w:rsidRPr="00B72C96">
        <w:t>personal protective equipment (PPE), including use, storage, maintenance and replacement schedules</w:t>
      </w:r>
    </w:p>
    <w:p w:rsidR="00000000" w:rsidRPr="00B72C96" w:rsidP="00B72C96">
      <w:pPr>
        <w:pStyle w:val="ListBullet"/>
      </w:pPr>
      <w:r w:rsidRPr="00B72C96">
        <w:t>key requirements of biosecurity standards, relevant to horse disease and hygiene standards</w:t>
      </w:r>
    </w:p>
    <w:p w:rsidR="00000000" w:rsidRPr="00B72C96" w:rsidP="00B72C96">
      <w:pPr>
        <w:pStyle w:val="ListBullet"/>
      </w:pPr>
      <w:r w:rsidRPr="00B72C96">
        <w:t>key requirements of animal welfare standards, policies and proced</w:t>
      </w:r>
      <w:r w:rsidRPr="00B72C96">
        <w:t>ures relevant to the safe, humane and ethical care and housing of horses</w:t>
      </w:r>
    </w:p>
    <w:p w:rsidR="00000000" w:rsidRPr="00B72C96" w:rsidP="00B72C96">
      <w:pPr>
        <w:pStyle w:val="ListBullet"/>
      </w:pPr>
      <w:r w:rsidRPr="00B72C96">
        <w:t>key requirements of environmental and sustainability standards, policies and procedures relevant to equine facilities and properties.</w:t>
      </w:r>
    </w:p>
    <w:p w:rsidR="00000000" w:rsidRPr="00B72C96" w:rsidP="00B72C96">
      <w:pPr>
        <w:pStyle w:val="AllowPageBreak"/>
      </w:pPr>
    </w:p>
    <w:p w:rsidR="00000000" w:rsidRPr="00B72C96" w:rsidP="00B72C96">
      <w:pPr>
        <w:pStyle w:val="Heading1"/>
      </w:pPr>
      <w:bookmarkStart w:id="4" w:name="O_961708"/>
      <w:bookmarkEnd w:id="4"/>
      <w:r w:rsidRPr="00B72C96">
        <w:t>Assessment Conditions</w:t>
      </w:r>
    </w:p>
    <w:p w:rsidR="00000000" w:rsidRPr="00B72C96" w:rsidP="00364091">
      <w:pPr>
        <w:pStyle w:val="BodyText"/>
      </w:pPr>
      <w:r w:rsidRPr="00B72C96">
        <w:t>Assessment</w:t>
      </w:r>
      <w:r w:rsidRPr="00B72C96">
        <w:t xml:space="preserve"> of skills must take place under the following conditions:</w:t>
      </w:r>
    </w:p>
    <w:p w:rsidR="00000000" w:rsidRPr="00B72C96" w:rsidP="00B72C96">
      <w:pPr>
        <w:pStyle w:val="ListBullet"/>
      </w:pPr>
      <w:r w:rsidRPr="00B72C96">
        <w:t>physical conditions:</w:t>
      </w:r>
    </w:p>
    <w:p w:rsidR="00000000" w:rsidRPr="00B72C96" w:rsidP="00B72C96">
      <w:pPr>
        <w:pStyle w:val="ListBullet2"/>
      </w:pPr>
      <w:r w:rsidRPr="00B72C96">
        <w:t>a workplace or an environment that accurately represents workplace conditions</w:t>
      </w:r>
    </w:p>
    <w:p w:rsidR="00000000" w:rsidRPr="00B72C96" w:rsidP="00B72C96">
      <w:pPr>
        <w:pStyle w:val="ListBullet"/>
      </w:pPr>
      <w:r w:rsidRPr="00B72C96">
        <w:t>resources, equipment and materials:</w:t>
      </w:r>
    </w:p>
    <w:p w:rsidR="00000000" w:rsidRPr="00B72C96" w:rsidP="00B72C96">
      <w:pPr>
        <w:pStyle w:val="ListBullet2"/>
      </w:pPr>
      <w:r w:rsidRPr="00B72C96">
        <w:t>variety of horses, including young horses, horses demonstr</w:t>
      </w:r>
      <w:r w:rsidRPr="00B72C96">
        <w:t>ating unwanted behaviour and untrained horses – horses used in assessments must have been assessed as suitable for handling by the individual, who must have pre-existing industry or professional experience</w:t>
      </w:r>
    </w:p>
    <w:p w:rsidR="00000000" w:rsidRPr="00B72C96" w:rsidP="00B72C96">
      <w:pPr>
        <w:pStyle w:val="ListBullet2"/>
      </w:pPr>
      <w:r w:rsidRPr="00B72C96">
        <w:t>personal protective equipment (PPE) correctly fitted and applicable to activity for the individual</w:t>
      </w:r>
    </w:p>
    <w:p w:rsidR="00000000" w:rsidRPr="00B72C96" w:rsidP="00B72C96">
      <w:pPr>
        <w:pStyle w:val="ListBullet2"/>
      </w:pPr>
      <w:r w:rsidRPr="00B72C96">
        <w:t>appropriate tack for individual, horse and education and training programs.</w:t>
      </w:r>
    </w:p>
    <w:p w:rsidR="00000000" w:rsidRPr="00B72C96" w:rsidP="00B72C96">
      <w:pPr>
        <w:pStyle w:val="BodyText"/>
      </w:pPr>
    </w:p>
    <w:p w:rsidR="00000000" w:rsidRPr="00B72C96" w:rsidP="00364091">
      <w:pPr>
        <w:pStyle w:val="BodyText"/>
      </w:pPr>
      <w:r w:rsidRPr="00B72C96">
        <w:t>Training and assessment strategies must show evidence of the use of guidance pro</w:t>
      </w:r>
      <w:r w:rsidRPr="00B72C96">
        <w:t xml:space="preserve">vided in the </w:t>
      </w:r>
      <w:r w:rsidRPr="00B72C96">
        <w:rPr>
          <w:rStyle w:val="Emphasis"/>
        </w:rPr>
        <w:t>Companion Volume: User Guide: Safety in Equine Training</w:t>
      </w:r>
      <w:r w:rsidRPr="00B72C96">
        <w:t>.</w:t>
      </w:r>
    </w:p>
    <w:p w:rsidR="00000000" w:rsidRPr="00B72C96" w:rsidP="00364091">
      <w:pPr>
        <w:pStyle w:val="BodyText"/>
      </w:pPr>
      <w:r w:rsidRPr="00B72C96">
        <w:t>Assessors of this unit must satisfy the requirements for assessors in applicable vocational education and training legislation, frameworks and/or standards.</w:t>
      </w:r>
    </w:p>
    <w:p w:rsidR="00000000" w:rsidRPr="00B72C96" w:rsidP="00364091">
      <w:pPr>
        <w:pStyle w:val="BodyText"/>
      </w:pPr>
      <w:r w:rsidRPr="00B72C96">
        <w:t>The following specific assess</w:t>
      </w:r>
      <w:r w:rsidRPr="00B72C96">
        <w:t>or requirements apply to this unit:</w:t>
      </w:r>
    </w:p>
    <w:p w:rsidR="00000000" w:rsidRPr="00B72C96" w:rsidP="00B72C96">
      <w:pPr>
        <w:pStyle w:val="ListBullet"/>
      </w:pPr>
      <w:r w:rsidRPr="00B72C96">
        <w:t>a minimum of three years’ experience to develop a high level of technical proficiency and knowledge of the discipline in which the horse is to be trained.</w:t>
      </w:r>
    </w:p>
    <w:p w:rsidR="00000000" w:rsidRPr="00B72C96" w:rsidP="00B72C96">
      <w:pPr>
        <w:pStyle w:val="AllowPageBreak"/>
      </w:pPr>
    </w:p>
    <w:p w:rsidR="00000000" w:rsidRPr="00B72C96" w:rsidP="00B72C96">
      <w:pPr>
        <w:pStyle w:val="Heading1"/>
      </w:pPr>
      <w:bookmarkStart w:id="5" w:name="O_961711"/>
      <w:bookmarkEnd w:id="5"/>
      <w:r w:rsidRPr="00B72C96">
        <w:t>Links</w:t>
      </w:r>
    </w:p>
    <w:p w:rsidR="00000000" w:rsidRPr="00B72C96" w:rsidP="00364091">
      <w:pPr>
        <w:pStyle w:val="BodyText"/>
      </w:pPr>
      <w:r w:rsidRPr="00B72C96">
        <w:t>Companion Volumes, including Implementati</w:t>
      </w:r>
      <w:r w:rsidRPr="00B72C96">
        <w:t xml:space="preserve">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0484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72C96" w:rsidP="00B72C96"/>
    <w:sectPr w:rsidSect="00B72C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6" w:rsidRPr="00364091" w:rsidP="00364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91" w:rsidP="00B72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091" w:rsidP="00B72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4091" w:rsidP="00B72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C96" w:rsidRPr="00364091" w:rsidP="00364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91" w:rsidRPr="002D2AF8" w:rsidP="00B72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ACMPHR408 Educate and train performance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64091" w:rsidP="00B72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64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A8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06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C96"/>
  </w:style>
  <w:style w:type="character" w:customStyle="1" w:styleId="Heading1Char">
    <w:name w:val="Heading 1 Char"/>
    <w:basedOn w:val="DefaultParagraphFont"/>
    <w:link w:val="Heading1"/>
    <w:rsid w:val="00B72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C96"/>
    <w:rPr>
      <w:b/>
      <w:spacing w:val="0"/>
    </w:rPr>
  </w:style>
  <w:style w:type="paragraph" w:styleId="ListBullet2">
    <w:name w:val="List Bullet 2"/>
    <w:basedOn w:val="List2"/>
    <w:rsid w:val="00B72C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C96"/>
    <w:rPr>
      <w:i/>
    </w:rPr>
  </w:style>
  <w:style w:type="paragraph" w:customStyle="1" w:styleId="SuperHeading">
    <w:name w:val="SuperHeading"/>
    <w:basedOn w:val="Normal"/>
    <w:rsid w:val="00B72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C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C96"/>
  </w:style>
  <w:style w:type="paragraph" w:styleId="TableofFigures">
    <w:name w:val="table of figures"/>
    <w:basedOn w:val="Normal"/>
    <w:next w:val="Normal"/>
    <w:semiHidden/>
    <w:rsid w:val="00B72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C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C96"/>
    <w:rPr>
      <w:rFonts w:ascii="Wingdings" w:hAnsi="Wingdings"/>
    </w:rPr>
  </w:style>
  <w:style w:type="paragraph" w:customStyle="1" w:styleId="TableHeading">
    <w:name w:val="Table Heading"/>
    <w:basedOn w:val="HeadingBase"/>
    <w:rsid w:val="00B72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C96"/>
    <w:rPr>
      <w:color w:val="0033CC"/>
      <w:u w:val="none"/>
    </w:rPr>
  </w:style>
  <w:style w:type="paragraph" w:customStyle="1" w:styleId="BodyTextRight">
    <w:name w:val="Body Text Right"/>
    <w:basedOn w:val="BodyText"/>
    <w:rsid w:val="00B72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C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C96"/>
    <w:rPr>
      <w:sz w:val="32"/>
    </w:rPr>
  </w:style>
  <w:style w:type="paragraph" w:customStyle="1" w:styleId="HeadingProcedure">
    <w:name w:val="Heading Procedure"/>
    <w:basedOn w:val="HeadingBase"/>
    <w:next w:val="Normal"/>
    <w:rsid w:val="00B72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C96"/>
    <w:pPr>
      <w:spacing w:before="60" w:after="60"/>
    </w:pPr>
  </w:style>
  <w:style w:type="paragraph" w:styleId="ListContinue">
    <w:name w:val="List Continue"/>
    <w:basedOn w:val="List"/>
    <w:rsid w:val="00B72C96"/>
    <w:pPr>
      <w:ind w:firstLine="0"/>
    </w:pPr>
  </w:style>
  <w:style w:type="paragraph" w:customStyle="1" w:styleId="ListNote">
    <w:name w:val="List Note"/>
    <w:basedOn w:val="List"/>
    <w:rsid w:val="00B72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C96"/>
    <w:rPr>
      <w:rFonts w:ascii="Courier New" w:hAnsi="Courier New"/>
    </w:rPr>
  </w:style>
  <w:style w:type="paragraph" w:customStyle="1" w:styleId="NoteBullet">
    <w:name w:val="Note Bullet"/>
    <w:basedOn w:val="Note"/>
    <w:rsid w:val="00B72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C96"/>
    <w:rPr>
      <w:b/>
      <w:smallCaps/>
    </w:rPr>
  </w:style>
  <w:style w:type="paragraph" w:customStyle="1" w:styleId="TableListNumber">
    <w:name w:val="Table List Number"/>
    <w:basedOn w:val="ListNumber"/>
    <w:rsid w:val="00B72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C96"/>
    <w:pPr>
      <w:numPr>
        <w:numId w:val="9"/>
      </w:numPr>
    </w:pPr>
  </w:style>
  <w:style w:type="paragraph" w:customStyle="1" w:styleId="ListAlpha2">
    <w:name w:val="List Alpha 2"/>
    <w:basedOn w:val="List2"/>
    <w:rsid w:val="00B72C96"/>
    <w:pPr>
      <w:numPr>
        <w:numId w:val="8"/>
      </w:numPr>
    </w:pPr>
  </w:style>
  <w:style w:type="paragraph" w:styleId="List2">
    <w:name w:val="List 2"/>
    <w:basedOn w:val="BodyText"/>
    <w:rsid w:val="00B72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C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C96"/>
    <w:pPr>
      <w:numPr>
        <w:numId w:val="4"/>
      </w:numPr>
    </w:pPr>
  </w:style>
  <w:style w:type="paragraph" w:styleId="ListContinue2">
    <w:name w:val="List Continue 2"/>
    <w:basedOn w:val="List2"/>
    <w:rsid w:val="00B72C96"/>
    <w:pPr>
      <w:ind w:firstLine="0"/>
    </w:pPr>
  </w:style>
  <w:style w:type="paragraph" w:styleId="ListContinue3">
    <w:name w:val="List Continue 3"/>
    <w:basedOn w:val="List3"/>
    <w:rsid w:val="00B72C96"/>
    <w:pPr>
      <w:ind w:left="1021" w:firstLine="0"/>
    </w:pPr>
  </w:style>
  <w:style w:type="paragraph" w:styleId="ListContinue4">
    <w:name w:val="List Continue 4"/>
    <w:basedOn w:val="List4"/>
    <w:rsid w:val="00B72C96"/>
    <w:pPr>
      <w:ind w:firstLine="0"/>
    </w:pPr>
  </w:style>
  <w:style w:type="paragraph" w:styleId="ListContinue5">
    <w:name w:val="List Continue 5"/>
    <w:basedOn w:val="List5"/>
    <w:rsid w:val="00B72C96"/>
    <w:pPr>
      <w:ind w:firstLine="0"/>
    </w:pPr>
  </w:style>
  <w:style w:type="paragraph" w:styleId="ListNumber3">
    <w:name w:val="List Number 3"/>
    <w:basedOn w:val="List3"/>
    <w:rsid w:val="00B72C96"/>
    <w:pPr>
      <w:numPr>
        <w:numId w:val="5"/>
      </w:numPr>
    </w:pPr>
  </w:style>
  <w:style w:type="paragraph" w:styleId="ListNumber4">
    <w:name w:val="List Number 4"/>
    <w:basedOn w:val="List4"/>
    <w:rsid w:val="00B72C96"/>
    <w:pPr>
      <w:numPr>
        <w:numId w:val="6"/>
      </w:numPr>
    </w:pPr>
  </w:style>
  <w:style w:type="paragraph" w:styleId="ListNumber5">
    <w:name w:val="List Number 5"/>
    <w:basedOn w:val="List5"/>
    <w:rsid w:val="00B72C96"/>
    <w:pPr>
      <w:numPr>
        <w:numId w:val="7"/>
      </w:numPr>
    </w:pPr>
  </w:style>
  <w:style w:type="paragraph" w:styleId="BlockText">
    <w:name w:val="Block Text"/>
    <w:basedOn w:val="Normal"/>
    <w:rsid w:val="00B72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C96"/>
    <w:rPr>
      <w:sz w:val="16"/>
      <w:vertAlign w:val="superscript"/>
    </w:rPr>
  </w:style>
  <w:style w:type="character" w:customStyle="1" w:styleId="Symbols">
    <w:name w:val="Symbols"/>
    <w:basedOn w:val="DefaultParagraphFont"/>
    <w:rsid w:val="00B72C96"/>
    <w:rPr>
      <w:rFonts w:ascii="Symbol" w:hAnsi="Symbol"/>
    </w:rPr>
  </w:style>
  <w:style w:type="character" w:customStyle="1" w:styleId="MenuOptions">
    <w:name w:val="Menu Options"/>
    <w:basedOn w:val="DefaultParagraphFont"/>
    <w:rsid w:val="00B72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C96"/>
    <w:rPr>
      <w:b/>
    </w:rPr>
  </w:style>
  <w:style w:type="character" w:customStyle="1" w:styleId="Underlined">
    <w:name w:val="Underlined"/>
    <w:basedOn w:val="DefaultParagraphFont"/>
    <w:rsid w:val="00B72C96"/>
    <w:rPr>
      <w:u w:val="single"/>
    </w:rPr>
  </w:style>
  <w:style w:type="paragraph" w:customStyle="1" w:styleId="TableBodyTextRight">
    <w:name w:val="Table Body Text Right"/>
    <w:basedOn w:val="TableBodyText"/>
    <w:rsid w:val="00B72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C96"/>
    <w:rPr>
      <w:sz w:val="18"/>
    </w:rPr>
  </w:style>
  <w:style w:type="paragraph" w:customStyle="1" w:styleId="BodySmallRight">
    <w:name w:val="Body Small Right"/>
    <w:basedOn w:val="BodyTextRight"/>
    <w:rsid w:val="00B72C96"/>
    <w:rPr>
      <w:sz w:val="18"/>
      <w:szCs w:val="18"/>
    </w:rPr>
  </w:style>
  <w:style w:type="paragraph" w:customStyle="1" w:styleId="MarginEdition">
    <w:name w:val="Margin Edition"/>
    <w:basedOn w:val="MarginNote"/>
    <w:rsid w:val="00B72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C96"/>
    <w:rPr>
      <w:sz w:val="2"/>
      <w:szCs w:val="2"/>
    </w:rPr>
  </w:style>
  <w:style w:type="character" w:customStyle="1" w:styleId="Small">
    <w:name w:val="Small"/>
    <w:basedOn w:val="DefaultParagraphFont"/>
    <w:rsid w:val="00B72C96"/>
    <w:rPr>
      <w:sz w:val="16"/>
    </w:rPr>
  </w:style>
  <w:style w:type="paragraph" w:customStyle="1" w:styleId="WideTable">
    <w:name w:val="Wide Table"/>
    <w:basedOn w:val="Normal"/>
    <w:rsid w:val="00B72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C96"/>
  </w:style>
  <w:style w:type="paragraph" w:styleId="Quote">
    <w:name w:val="Quote"/>
    <w:basedOn w:val="Heading1"/>
    <w:link w:val="QuoteChar"/>
    <w:qFormat/>
    <w:rsid w:val="00B72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C96"/>
    <w:pPr>
      <w:pageBreakBefore/>
    </w:pPr>
  </w:style>
  <w:style w:type="paragraph" w:customStyle="1" w:styleId="Border">
    <w:name w:val="Border"/>
    <w:basedOn w:val="Normal"/>
    <w:qFormat/>
    <w:rsid w:val="00B72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C96"/>
    <w:rPr>
      <w:u w:val="single"/>
    </w:rPr>
  </w:style>
  <w:style w:type="character" w:customStyle="1" w:styleId="BoldandItalics">
    <w:name w:val="Bold and Italics"/>
    <w:qFormat/>
    <w:rsid w:val="00B72C96"/>
    <w:rPr>
      <w:b/>
      <w:i/>
      <w:u w:val="none"/>
    </w:rPr>
  </w:style>
  <w:style w:type="paragraph" w:styleId="BalloonText">
    <w:name w:val="Balloon Text"/>
    <w:basedOn w:val="Normal"/>
    <w:link w:val="BalloonTextChar"/>
    <w:rsid w:val="00B72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C96"/>
    <w:pPr>
      <w:spacing w:before="0" w:after="0"/>
    </w:pPr>
  </w:style>
  <w:style w:type="paragraph" w:customStyle="1" w:styleId="BodyTextBold">
    <w:name w:val="Body Text Bold"/>
    <w:basedOn w:val="BodyText"/>
    <w:qFormat/>
    <w:rsid w:val="00B72C96"/>
    <w:rPr>
      <w:b/>
    </w:rPr>
  </w:style>
  <w:style w:type="character" w:styleId="Hyperlink">
    <w:name w:val="Hyperlink"/>
    <w:basedOn w:val="DefaultParagraphFont"/>
    <w:uiPriority w:val="99"/>
    <w:unhideWhenUsed/>
    <w:rsid w:val="00364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4584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ACMPHR408 Educate and train performance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2021-07-23T04:58:00Z</dcterms:created>
  <dcterms:modified xsi:type="dcterms:W3CDTF">2021-07-23T04:58:00Z</dcterms:modified>
</cp:coreProperties>
</file>