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E2B" w:rsidP="00BF6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ACMINF502 Manage equine biosecurity and infection control</w:t>
      </w:r>
      <w:r>
        <w:fldChar w:fldCharType="end"/>
      </w:r>
    </w:p>
    <w:p w:rsidR="00BF6E2B" w:rsidP="00BF6E2B">
      <w:pPr>
        <w:pStyle w:val="Version"/>
        <w:sectPr w:rsidSect="00CE6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7D7" w:rsidP="00CE67D7">
      <w:pPr>
        <w:pStyle w:val="SuperHeading"/>
      </w:pPr>
      <w:r w:rsidRPr="00CE67D7">
        <w:t>Assessment Requirements for ACMINF502 Manage equine biosecurity and infection control</w:t>
      </w:r>
    </w:p>
    <w:p w:rsidR="00000000" w:rsidRPr="00CE67D7" w:rsidP="00CE67D7">
      <w:pPr>
        <w:pStyle w:val="Heading1"/>
      </w:pPr>
      <w:bookmarkStart w:id="1" w:name="O_991918"/>
      <w:bookmarkEnd w:id="1"/>
      <w:r w:rsidRPr="00CE67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5"/>
        <w:gridCol w:w="6985"/>
      </w:tblGrid>
      <w:tr w:rsidTr="00CE67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7D7" w:rsidP="00CE67D7">
            <w:pPr>
              <w:pStyle w:val="BodyText"/>
            </w:pPr>
            <w:r w:rsidRPr="00CE67D7">
              <w:rPr>
                <w:rStyle w:val="SpecialBold"/>
              </w:rPr>
              <w:t>Release</w:t>
            </w:r>
          </w:p>
        </w:tc>
        <w:tc>
          <w:tcPr>
            <w:tcW w:w="6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7D7">
            <w:pPr>
              <w:pStyle w:val="BodyText"/>
              <w:rPr>
                <w:lang w:val="en-NZ"/>
              </w:rPr>
            </w:pPr>
            <w:r w:rsidRPr="00CE67D7">
              <w:rPr>
                <w:rStyle w:val="SpecialBold"/>
              </w:rPr>
              <w:t>Comments</w:t>
            </w:r>
          </w:p>
        </w:tc>
      </w:tr>
      <w:tr w:rsidTr="00CE67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7D7">
            <w:pPr>
              <w:pStyle w:val="BodyText"/>
              <w:rPr>
                <w:lang w:val="en-NZ"/>
              </w:rPr>
            </w:pPr>
            <w:r w:rsidRPr="00CE67D7">
              <w:t>Release 1</w:t>
            </w:r>
          </w:p>
        </w:tc>
        <w:tc>
          <w:tcPr>
            <w:tcW w:w="6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7D7" w:rsidP="00CE67D7">
            <w:pPr>
              <w:pStyle w:val="BodyText"/>
            </w:pPr>
            <w:r w:rsidRPr="00CE67D7">
              <w:t xml:space="preserve">This version released with ACM Animal Care and Management Training Package Version 2.0. </w:t>
            </w:r>
          </w:p>
        </w:tc>
      </w:tr>
    </w:tbl>
    <w:p w:rsidR="00000000" w:rsidRPr="00CE67D7" w:rsidP="00CE67D7">
      <w:pPr>
        <w:pStyle w:val="BodyText"/>
      </w:pPr>
    </w:p>
    <w:p w:rsidR="00000000" w:rsidRPr="00CE67D7" w:rsidP="00CE67D7">
      <w:pPr>
        <w:pStyle w:val="AllowPageBreak"/>
      </w:pPr>
    </w:p>
    <w:p w:rsidR="00000000" w:rsidRPr="00CE67D7" w:rsidP="00CE67D7">
      <w:pPr>
        <w:pStyle w:val="Heading1"/>
      </w:pPr>
      <w:bookmarkStart w:id="2" w:name="O_991919"/>
      <w:bookmarkEnd w:id="2"/>
      <w:r w:rsidRPr="00CE67D7">
        <w:t>Performance Evidence</w:t>
      </w:r>
    </w:p>
    <w:p w:rsidR="00000000" w:rsidRPr="00CE67D7" w:rsidP="00BF6E2B">
      <w:pPr>
        <w:pStyle w:val="BodyText"/>
      </w:pPr>
      <w:r w:rsidRPr="00CE67D7">
        <w:t xml:space="preserve">An individual demonstrating competency must satisfy all of the elements and performance criteria in this unit. </w:t>
      </w:r>
    </w:p>
    <w:p w:rsidR="00000000" w:rsidRPr="00CE67D7" w:rsidP="00BF6E2B">
      <w:pPr>
        <w:pStyle w:val="BodyText"/>
      </w:pPr>
      <w:r w:rsidRPr="00CE67D7">
        <w:t>There must be evidence that the individual has:</w:t>
      </w:r>
    </w:p>
    <w:p w:rsidR="00000000" w:rsidRPr="00CE67D7" w:rsidP="00CE67D7">
      <w:pPr>
        <w:pStyle w:val="ListBullet"/>
      </w:pPr>
      <w:r w:rsidRPr="00CE67D7">
        <w:t>carried out an equine biosecurity risk assessment for one property</w:t>
      </w:r>
      <w:r w:rsidRPr="00CE67D7">
        <w:t xml:space="preserve"> or work site </w:t>
      </w:r>
    </w:p>
    <w:p w:rsidR="00000000" w:rsidRPr="00CE67D7" w:rsidP="00CE67D7">
      <w:pPr>
        <w:pStyle w:val="ListBullet"/>
      </w:pPr>
      <w:r w:rsidRPr="00CE67D7">
        <w:t>documented one equine biosecurity and infection control plan including supporting documentation, covering:</w:t>
      </w:r>
    </w:p>
    <w:p w:rsidR="00000000" w:rsidRPr="00CE67D7" w:rsidP="00CE67D7">
      <w:pPr>
        <w:pStyle w:val="ListBullet2"/>
      </w:pPr>
      <w:r w:rsidRPr="00CE67D7">
        <w:t>movement of equines into, within and out of the work site, other properties and/or geographical areas</w:t>
      </w:r>
    </w:p>
    <w:p w:rsidR="00000000" w:rsidRPr="00CE67D7" w:rsidP="00CE67D7">
      <w:pPr>
        <w:pStyle w:val="ListBullet2"/>
      </w:pPr>
      <w:r w:rsidRPr="00CE67D7">
        <w:t>movement of vehicles, equipment, feed, and bedding</w:t>
      </w:r>
    </w:p>
    <w:p w:rsidR="00000000" w:rsidRPr="00CE67D7" w:rsidP="00CE67D7">
      <w:pPr>
        <w:pStyle w:val="ListBullet2"/>
      </w:pPr>
      <w:r w:rsidRPr="00CE67D7">
        <w:t>movement of people visiting or working at the work site</w:t>
      </w:r>
    </w:p>
    <w:p w:rsidR="00000000" w:rsidRPr="00CE67D7" w:rsidP="00CE67D7">
      <w:pPr>
        <w:pStyle w:val="ListBullet2"/>
      </w:pPr>
      <w:r w:rsidRPr="00CE67D7">
        <w:t>feral and domestic animals and pests</w:t>
      </w:r>
    </w:p>
    <w:p w:rsidR="00000000" w:rsidRPr="00CE67D7" w:rsidP="00CE67D7">
      <w:pPr>
        <w:pStyle w:val="ListBullet2"/>
      </w:pPr>
      <w:r w:rsidRPr="00CE67D7">
        <w:t xml:space="preserve">design and construction features of the work site </w:t>
      </w:r>
    </w:p>
    <w:p w:rsidR="00000000" w:rsidRPr="00CE67D7" w:rsidP="00CE67D7">
      <w:pPr>
        <w:pStyle w:val="ListBullet2"/>
      </w:pPr>
      <w:r w:rsidRPr="00CE67D7">
        <w:t xml:space="preserve">waste management practices </w:t>
      </w:r>
    </w:p>
    <w:p w:rsidR="00000000" w:rsidRPr="00CE67D7" w:rsidP="00CE67D7">
      <w:pPr>
        <w:pStyle w:val="ListBullet2"/>
      </w:pPr>
      <w:r w:rsidRPr="00CE67D7">
        <w:t>water supply and storage</w:t>
      </w:r>
    </w:p>
    <w:p w:rsidR="00000000" w:rsidRPr="00CE67D7" w:rsidP="00CE67D7">
      <w:pPr>
        <w:pStyle w:val="ListBullet2"/>
      </w:pPr>
      <w:r w:rsidRPr="00CE67D7">
        <w:t>emergenc</w:t>
      </w:r>
      <w:r w:rsidRPr="00CE67D7">
        <w:t>y animal disease (EAD) action plan</w:t>
      </w:r>
    </w:p>
    <w:p w:rsidR="00000000" w:rsidRPr="00CE67D7" w:rsidP="00CE67D7">
      <w:pPr>
        <w:pStyle w:val="ListBullet"/>
      </w:pPr>
      <w:r w:rsidRPr="00CE67D7">
        <w:t>reviewed at least four different equine endemic disease outbreaks and documented a response to minimise the impacts of each outbreak</w:t>
      </w:r>
    </w:p>
    <w:p w:rsidR="00000000" w:rsidRPr="00CE67D7" w:rsidP="00CE67D7">
      <w:pPr>
        <w:pStyle w:val="ListBullet"/>
      </w:pPr>
      <w:r w:rsidRPr="00CE67D7">
        <w:t>implemented, monitored and reviewed the plan over a period of at least six months.</w:t>
      </w:r>
    </w:p>
    <w:p w:rsidR="00000000" w:rsidRPr="00CE67D7" w:rsidP="00CE67D7">
      <w:pPr>
        <w:pStyle w:val="AllowPageBreak"/>
      </w:pPr>
    </w:p>
    <w:p w:rsidR="00000000" w:rsidRPr="00CE67D7" w:rsidP="00CE67D7">
      <w:pPr>
        <w:pStyle w:val="Heading1"/>
      </w:pPr>
      <w:bookmarkStart w:id="3" w:name="O_991920"/>
      <w:bookmarkEnd w:id="3"/>
      <w:r w:rsidRPr="00CE67D7">
        <w:t>Knowledge Evidence</w:t>
      </w:r>
    </w:p>
    <w:p w:rsidR="00000000" w:rsidRPr="00CE67D7" w:rsidP="00BF6E2B">
      <w:pPr>
        <w:pStyle w:val="BodyText"/>
      </w:pPr>
      <w:r w:rsidRPr="00CE67D7">
        <w:t>An individual must be able to demonstrate the knowledge required to perform the tasks outlined in the elements and performance criteria of this unit. This includes knowledge of:</w:t>
      </w:r>
    </w:p>
    <w:p w:rsidR="00000000" w:rsidRPr="00CE67D7" w:rsidP="00CE67D7">
      <w:pPr>
        <w:pStyle w:val="ListBullet"/>
      </w:pPr>
      <w:r w:rsidRPr="00CE67D7">
        <w:t xml:space="preserve">potential disease or contaminant risks to an </w:t>
      </w:r>
      <w:r w:rsidRPr="00CE67D7">
        <w:t>equine work site, including:</w:t>
      </w:r>
    </w:p>
    <w:p w:rsidR="00000000" w:rsidRPr="00CE67D7" w:rsidP="00CE67D7">
      <w:pPr>
        <w:pStyle w:val="ListBullet2"/>
      </w:pPr>
      <w:r w:rsidRPr="00CE67D7">
        <w:t>movement of equines between work sites and geographical areas, including international travel</w:t>
      </w:r>
    </w:p>
    <w:p w:rsidR="00000000" w:rsidRPr="00CE67D7" w:rsidP="00CE67D7">
      <w:pPr>
        <w:pStyle w:val="ListBullet2"/>
      </w:pPr>
      <w:r w:rsidRPr="00CE67D7">
        <w:t>movement of vehicles, equipment, feed, and bedding</w:t>
      </w:r>
    </w:p>
    <w:p w:rsidR="00000000" w:rsidRPr="00CE67D7" w:rsidP="00CE67D7">
      <w:pPr>
        <w:pStyle w:val="ListBullet2"/>
      </w:pPr>
      <w:r w:rsidRPr="00CE67D7">
        <w:t>movement of people visiting or working at the work site</w:t>
      </w:r>
    </w:p>
    <w:p w:rsidR="00000000" w:rsidRPr="00CE67D7" w:rsidP="00CE67D7">
      <w:pPr>
        <w:pStyle w:val="ListBullet2"/>
      </w:pPr>
      <w:r w:rsidRPr="00CE67D7">
        <w:t>feral and domestic animals and pests</w:t>
      </w:r>
    </w:p>
    <w:p w:rsidR="00000000" w:rsidRPr="00CE67D7" w:rsidP="00CE67D7">
      <w:pPr>
        <w:pStyle w:val="ListBullet2"/>
      </w:pPr>
      <w:r w:rsidRPr="00CE67D7">
        <w:t xml:space="preserve">design and construction features of the work site </w:t>
      </w:r>
    </w:p>
    <w:p w:rsidR="00000000" w:rsidRPr="00CE67D7" w:rsidP="00CE67D7">
      <w:pPr>
        <w:pStyle w:val="ListBullet2"/>
      </w:pPr>
      <w:r w:rsidRPr="00CE67D7">
        <w:t xml:space="preserve">waste management practices </w:t>
      </w:r>
    </w:p>
    <w:p w:rsidR="00000000" w:rsidRPr="00CE67D7" w:rsidP="00CE67D7">
      <w:pPr>
        <w:pStyle w:val="ListBullet2"/>
      </w:pPr>
      <w:r w:rsidRPr="00CE67D7">
        <w:t>disposal of dead or aborted animals and biological materials</w:t>
      </w:r>
    </w:p>
    <w:p w:rsidR="00000000" w:rsidRPr="00CE67D7" w:rsidP="00CE67D7">
      <w:pPr>
        <w:pStyle w:val="ListBullet2"/>
      </w:pPr>
      <w:r w:rsidRPr="00CE67D7">
        <w:t>water supply and storage</w:t>
      </w:r>
    </w:p>
    <w:p w:rsidR="00000000" w:rsidRPr="00CE67D7" w:rsidP="00CE67D7">
      <w:pPr>
        <w:pStyle w:val="ListBullet"/>
      </w:pPr>
      <w:r w:rsidRPr="00CE67D7">
        <w:t xml:space="preserve">infectious and zoonotic equine diseases, significant </w:t>
      </w:r>
      <w:r w:rsidRPr="00CE67D7">
        <w:t>to biosecurity and public health safety, including those caused by:</w:t>
      </w:r>
    </w:p>
    <w:p w:rsidR="00000000" w:rsidRPr="00CE67D7" w:rsidP="00CE67D7">
      <w:pPr>
        <w:pStyle w:val="ListBullet2"/>
      </w:pPr>
      <w:r w:rsidRPr="00CE67D7">
        <w:t>bacteria, including equine chlamydiosis (psittacosis),</w:t>
      </w:r>
      <w:r w:rsidRPr="00CE67D7">
        <w:rPr>
          <w:rStyle w:val="SpecialBold"/>
        </w:rPr>
        <w:t xml:space="preserve"> </w:t>
      </w:r>
      <w:r w:rsidRPr="00CE67D7">
        <w:t>strangles, listeriosis,</w:t>
      </w:r>
      <w:r w:rsidRPr="00CE67D7">
        <w:rPr>
          <w:rStyle w:val="SpecialBold"/>
        </w:rPr>
        <w:t xml:space="preserve"> </w:t>
      </w:r>
      <w:r w:rsidRPr="00CE67D7">
        <w:t>brucellosis, salmonellosis, tetanus and rhodococcus equi</w:t>
      </w:r>
    </w:p>
    <w:p w:rsidR="00000000" w:rsidRPr="00CE67D7" w:rsidP="00CE67D7">
      <w:pPr>
        <w:pStyle w:val="ListBullet2"/>
      </w:pPr>
      <w:r w:rsidRPr="00CE67D7">
        <w:t>fungi, including ringworm</w:t>
      </w:r>
    </w:p>
    <w:p w:rsidR="00000000" w:rsidRPr="00CE67D7" w:rsidP="00CE67D7">
      <w:pPr>
        <w:pStyle w:val="ListBullet2"/>
      </w:pPr>
      <w:r w:rsidRPr="00CE67D7">
        <w:t>parasites</w:t>
      </w:r>
    </w:p>
    <w:p w:rsidR="00000000" w:rsidRPr="00CE67D7" w:rsidP="00CE67D7">
      <w:pPr>
        <w:pStyle w:val="ListBullet2"/>
      </w:pPr>
      <w:r w:rsidRPr="00CE67D7">
        <w:t>viruses, includ</w:t>
      </w:r>
      <w:r w:rsidRPr="00CE67D7">
        <w:t xml:space="preserve">ing Hendra virus, equine herpes virus, equine influenza, Q fever kunjin virus, Ross River virus, equine viral arteritis, and equine infectious anaemia </w:t>
      </w:r>
    </w:p>
    <w:p w:rsidR="00000000" w:rsidRPr="00CE67D7" w:rsidP="00CE67D7">
      <w:pPr>
        <w:pStyle w:val="ListBullet2"/>
      </w:pPr>
      <w:r w:rsidRPr="00CE67D7">
        <w:t>pests, including processionary caterpillars (itchy grubs), mosquitos, bats, rodents</w:t>
      </w:r>
    </w:p>
    <w:p w:rsidR="00000000" w:rsidRPr="00CE67D7" w:rsidP="00CE67D7">
      <w:pPr>
        <w:pStyle w:val="ListBullet2"/>
      </w:pPr>
      <w:r w:rsidRPr="00CE67D7">
        <w:t>significance to publ</w:t>
      </w:r>
      <w:r w:rsidRPr="00CE67D7">
        <w:t>ic safety of flying foxes and Hendra virus</w:t>
      </w:r>
    </w:p>
    <w:p w:rsidR="00000000" w:rsidRPr="00CE67D7" w:rsidP="00CE67D7">
      <w:pPr>
        <w:pStyle w:val="ListBullet"/>
      </w:pPr>
      <w:r w:rsidRPr="00CE67D7">
        <w:t>routes for disease and pathogen transmission, including:</w:t>
      </w:r>
    </w:p>
    <w:p w:rsidR="00000000" w:rsidRPr="00CE67D7" w:rsidP="00CE67D7">
      <w:pPr>
        <w:pStyle w:val="ListBullet2"/>
      </w:pPr>
      <w:r w:rsidRPr="00CE67D7">
        <w:t>transfer of equines from work site to another and mixing equines</w:t>
      </w:r>
    </w:p>
    <w:p w:rsidR="00000000" w:rsidRPr="00CE67D7" w:rsidP="00CE67D7">
      <w:pPr>
        <w:pStyle w:val="ListBullet2"/>
      </w:pPr>
      <w:r w:rsidRPr="00CE67D7">
        <w:t>dead animal disposal</w:t>
      </w:r>
    </w:p>
    <w:p w:rsidR="00000000" w:rsidRPr="00CE67D7" w:rsidP="00CE67D7">
      <w:pPr>
        <w:pStyle w:val="ListBullet2"/>
      </w:pPr>
      <w:r w:rsidRPr="00CE67D7">
        <w:t xml:space="preserve">people as biological sentinels </w:t>
      </w:r>
    </w:p>
    <w:p w:rsidR="00000000" w:rsidRPr="00CE67D7" w:rsidP="00CE67D7">
      <w:pPr>
        <w:pStyle w:val="ListBullet2"/>
      </w:pPr>
      <w:r w:rsidRPr="00CE67D7">
        <w:t>vehicles and equipment</w:t>
      </w:r>
    </w:p>
    <w:p w:rsidR="00000000" w:rsidRPr="00CE67D7" w:rsidP="00CE67D7">
      <w:pPr>
        <w:pStyle w:val="ListBullet2"/>
      </w:pPr>
      <w:r w:rsidRPr="00CE67D7">
        <w:t>air transmission</w:t>
      </w:r>
    </w:p>
    <w:p w:rsidR="00000000" w:rsidRPr="00CE67D7" w:rsidP="00CE67D7">
      <w:pPr>
        <w:pStyle w:val="ListBullet2"/>
      </w:pPr>
      <w:r w:rsidRPr="00CE67D7">
        <w:t>feed and water contamination</w:t>
      </w:r>
    </w:p>
    <w:p w:rsidR="00000000" w:rsidRPr="00CE67D7" w:rsidP="00CE67D7">
      <w:pPr>
        <w:pStyle w:val="ListBullet2"/>
      </w:pPr>
      <w:r w:rsidRPr="00CE67D7">
        <w:t xml:space="preserve">pests and weeds </w:t>
      </w:r>
    </w:p>
    <w:p w:rsidR="00000000" w:rsidRPr="00CE67D7" w:rsidP="00CE67D7">
      <w:pPr>
        <w:pStyle w:val="ListBullet2"/>
      </w:pPr>
      <w:r w:rsidRPr="00CE67D7">
        <w:t>vector transmission, including flying foxes (Hendra virus)</w:t>
      </w:r>
    </w:p>
    <w:p w:rsidR="00000000" w:rsidRPr="00CE67D7" w:rsidP="00CE67D7">
      <w:pPr>
        <w:pStyle w:val="ListBullet"/>
      </w:pPr>
      <w:r w:rsidRPr="00CE67D7">
        <w:t>risk assessment and management techniques for:</w:t>
      </w:r>
    </w:p>
    <w:p w:rsidR="00000000" w:rsidRPr="00CE67D7" w:rsidP="00CE67D7">
      <w:pPr>
        <w:pStyle w:val="ListBullet2"/>
      </w:pPr>
      <w:r w:rsidRPr="00CE67D7">
        <w:t xml:space="preserve">preventing controllable risks </w:t>
      </w:r>
    </w:p>
    <w:p w:rsidR="00000000" w:rsidRPr="00CE67D7" w:rsidP="00CE67D7">
      <w:pPr>
        <w:pStyle w:val="ListBullet2"/>
      </w:pPr>
      <w:r w:rsidRPr="00CE67D7">
        <w:t>dealing with risks beyond control</w:t>
      </w:r>
    </w:p>
    <w:p w:rsidR="00000000" w:rsidRPr="00CE67D7" w:rsidP="00CE67D7">
      <w:pPr>
        <w:pStyle w:val="ListBullet2"/>
      </w:pPr>
      <w:r w:rsidRPr="00CE67D7">
        <w:t>responding and recov</w:t>
      </w:r>
      <w:r w:rsidRPr="00CE67D7">
        <w:t>ering from an incident or crisis</w:t>
      </w:r>
    </w:p>
    <w:p w:rsidR="00000000" w:rsidRPr="00CE67D7" w:rsidP="00CE67D7">
      <w:pPr>
        <w:pStyle w:val="ListBullet"/>
      </w:pPr>
      <w:r w:rsidRPr="00CE67D7">
        <w:t>features of a biosecurity and infection control plan, including:</w:t>
      </w:r>
    </w:p>
    <w:p w:rsidR="00000000" w:rsidRPr="00CE67D7" w:rsidP="00CE67D7">
      <w:pPr>
        <w:pStyle w:val="ListBullet2"/>
      </w:pPr>
      <w:r w:rsidRPr="00CE67D7">
        <w:t>goals and objectives</w:t>
      </w:r>
    </w:p>
    <w:p w:rsidR="00000000" w:rsidRPr="00CE67D7" w:rsidP="00CE67D7">
      <w:pPr>
        <w:pStyle w:val="ListBullet2"/>
      </w:pPr>
      <w:r w:rsidRPr="00CE67D7">
        <w:t>roles and responsibilities of staff</w:t>
      </w:r>
    </w:p>
    <w:p w:rsidR="00000000" w:rsidRPr="00CE67D7" w:rsidP="00CE67D7">
      <w:pPr>
        <w:pStyle w:val="ListBullet2"/>
      </w:pPr>
      <w:r w:rsidRPr="00CE67D7">
        <w:t>staff vaccination/immunisation and training records</w:t>
      </w:r>
    </w:p>
    <w:p w:rsidR="00000000" w:rsidRPr="00CE67D7" w:rsidP="00CE67D7">
      <w:pPr>
        <w:pStyle w:val="ListBullet2"/>
      </w:pPr>
      <w:r w:rsidRPr="00CE67D7">
        <w:t>contact details for relevant vete</w:t>
      </w:r>
      <w:r w:rsidRPr="00CE67D7">
        <w:t>rinarians, other people and organisations</w:t>
      </w:r>
    </w:p>
    <w:p w:rsidR="00000000" w:rsidRPr="00CE67D7" w:rsidP="00CE67D7">
      <w:pPr>
        <w:pStyle w:val="ListBullet2"/>
      </w:pPr>
      <w:r w:rsidRPr="00CE67D7">
        <w:t>recording forms including visitor register, husbandry records, register of equine movements</w:t>
      </w:r>
    </w:p>
    <w:p w:rsidR="00000000" w:rsidRPr="00CE67D7" w:rsidP="00CE67D7">
      <w:pPr>
        <w:pStyle w:val="ListBullet2"/>
      </w:pPr>
      <w:r w:rsidRPr="00CE67D7">
        <w:t>EAD action plan</w:t>
      </w:r>
    </w:p>
    <w:p w:rsidR="00000000" w:rsidRPr="00CE67D7" w:rsidP="00CE67D7">
      <w:pPr>
        <w:pStyle w:val="ListBullet2"/>
      </w:pPr>
      <w:r w:rsidRPr="00CE67D7">
        <w:t xml:space="preserve">Australian Veterinary Emergency Plan (AUSVETPLAN) for specific equine diseases </w:t>
      </w:r>
    </w:p>
    <w:p w:rsidR="00000000" w:rsidRPr="00CE67D7" w:rsidP="00CE67D7">
      <w:pPr>
        <w:pStyle w:val="ListBullet"/>
      </w:pPr>
      <w:r w:rsidRPr="00CE67D7">
        <w:t>overview of infectious di</w:t>
      </w:r>
      <w:r w:rsidRPr="00CE67D7">
        <w:t>seases in equines, including:</w:t>
      </w:r>
    </w:p>
    <w:p w:rsidR="00000000" w:rsidRPr="00CE67D7" w:rsidP="00CE67D7">
      <w:pPr>
        <w:pStyle w:val="ListBullet2"/>
      </w:pPr>
      <w:r w:rsidRPr="00CE67D7">
        <w:t xml:space="preserve">clinical signs and typical histories </w:t>
      </w:r>
    </w:p>
    <w:p w:rsidR="00000000" w:rsidRPr="00CE67D7" w:rsidP="00CE67D7">
      <w:pPr>
        <w:pStyle w:val="ListBullet2"/>
      </w:pPr>
      <w:r w:rsidRPr="00CE67D7">
        <w:t xml:space="preserve">incubation period and infectious period </w:t>
      </w:r>
    </w:p>
    <w:p w:rsidR="00000000" w:rsidRPr="00CE67D7" w:rsidP="00CE67D7">
      <w:pPr>
        <w:pStyle w:val="ListBullet2"/>
      </w:pPr>
      <w:r w:rsidRPr="00CE67D7">
        <w:t>common treatment protocols</w:t>
      </w:r>
    </w:p>
    <w:p w:rsidR="00000000" w:rsidRPr="00CE67D7" w:rsidP="00CE67D7">
      <w:pPr>
        <w:pStyle w:val="ListBullet"/>
      </w:pPr>
      <w:r w:rsidRPr="00CE67D7">
        <w:t>methods to prevent and control common diseases, including:</w:t>
      </w:r>
    </w:p>
    <w:p w:rsidR="00000000" w:rsidRPr="00CE67D7" w:rsidP="00CE67D7">
      <w:pPr>
        <w:pStyle w:val="ListBullet2"/>
      </w:pPr>
      <w:r w:rsidRPr="00CE67D7">
        <w:t>vaccinating equines</w:t>
      </w:r>
    </w:p>
    <w:p w:rsidR="00000000" w:rsidRPr="00CE67D7" w:rsidP="00CE67D7">
      <w:pPr>
        <w:pStyle w:val="ListBullet2"/>
      </w:pPr>
      <w:r w:rsidRPr="00CE67D7">
        <w:t>worming equines and other animals</w:t>
      </w:r>
    </w:p>
    <w:p w:rsidR="00000000" w:rsidRPr="00CE67D7" w:rsidP="00CE67D7">
      <w:pPr>
        <w:pStyle w:val="ListBullet2"/>
      </w:pPr>
      <w:r w:rsidRPr="00CE67D7">
        <w:t>cont</w:t>
      </w:r>
      <w:r w:rsidRPr="00CE67D7">
        <w:t>rolling rodents</w:t>
      </w:r>
    </w:p>
    <w:p w:rsidR="00000000" w:rsidRPr="00CE67D7" w:rsidP="00CE67D7">
      <w:pPr>
        <w:pStyle w:val="ListBullet2"/>
      </w:pPr>
      <w:r w:rsidRPr="00CE67D7">
        <w:t>protecting equine feed and water from flying foxes and other pests</w:t>
      </w:r>
    </w:p>
    <w:p w:rsidR="00000000" w:rsidRPr="00CE67D7" w:rsidP="00CE67D7">
      <w:pPr>
        <w:pStyle w:val="ListBullet2"/>
      </w:pPr>
      <w:r w:rsidRPr="00CE67D7">
        <w:t>isolating and treating sick animals</w:t>
      </w:r>
    </w:p>
    <w:p w:rsidR="00000000" w:rsidRPr="00CE67D7" w:rsidP="00CE67D7">
      <w:pPr>
        <w:pStyle w:val="ListBullet2"/>
      </w:pPr>
      <w:r w:rsidRPr="00CE67D7">
        <w:t xml:space="preserve">reducing the risk of exposure to mosquitos </w:t>
      </w:r>
    </w:p>
    <w:p w:rsidR="00000000" w:rsidRPr="00CE67D7" w:rsidP="00CE67D7">
      <w:pPr>
        <w:pStyle w:val="ListBullet2"/>
      </w:pPr>
      <w:r w:rsidRPr="00CE67D7">
        <w:t xml:space="preserve">taking measures to manage movement in and out of potential infection areas </w:t>
      </w:r>
    </w:p>
    <w:p w:rsidR="00000000" w:rsidRPr="00CE67D7" w:rsidP="00CE67D7">
      <w:pPr>
        <w:pStyle w:val="ListBullet2"/>
      </w:pPr>
      <w:r w:rsidRPr="00CE67D7">
        <w:t>early veterinary intervention</w:t>
      </w:r>
    </w:p>
    <w:p w:rsidR="00000000" w:rsidRPr="00CE67D7" w:rsidP="00CE67D7">
      <w:pPr>
        <w:pStyle w:val="ListBullet"/>
      </w:pPr>
      <w:r w:rsidRPr="00CE67D7">
        <w:t xml:space="preserve">treatments for equine infectious diseases, including: </w:t>
      </w:r>
    </w:p>
    <w:p w:rsidR="00000000" w:rsidRPr="00CE67D7" w:rsidP="00CE67D7">
      <w:pPr>
        <w:pStyle w:val="ListBullet2"/>
      </w:pPr>
      <w:r w:rsidRPr="00CE67D7">
        <w:t xml:space="preserve">state/territory restrictions on the administration of particular drugs </w:t>
      </w:r>
    </w:p>
    <w:p w:rsidR="00000000" w:rsidRPr="00CE67D7" w:rsidP="00CE67D7">
      <w:pPr>
        <w:pStyle w:val="ListBullet2"/>
      </w:pPr>
      <w:r w:rsidRPr="00CE67D7">
        <w:t>use of antibiotics and microbial resistance</w:t>
      </w:r>
    </w:p>
    <w:p w:rsidR="00000000" w:rsidRPr="00CE67D7" w:rsidP="00CE67D7">
      <w:pPr>
        <w:pStyle w:val="ListBullet2"/>
      </w:pPr>
      <w:r w:rsidRPr="00CE67D7">
        <w:t>ensuring only veterinarian prescribed antibiotics are</w:t>
      </w:r>
      <w:r w:rsidRPr="00CE67D7">
        <w:t xml:space="preserve"> administered to limit microbial resistance </w:t>
      </w:r>
    </w:p>
    <w:p w:rsidR="00000000" w:rsidRPr="00CE67D7" w:rsidP="00CE67D7">
      <w:pPr>
        <w:pStyle w:val="ListBullet"/>
      </w:pPr>
      <w:r w:rsidRPr="00CE67D7">
        <w:t>common zoonotic diseases that can be spread to humans working with equines</w:t>
      </w:r>
    </w:p>
    <w:p w:rsidR="00000000" w:rsidRPr="00CE67D7" w:rsidP="00CE67D7">
      <w:pPr>
        <w:pStyle w:val="ListBullet"/>
      </w:pPr>
      <w:r w:rsidRPr="00CE67D7">
        <w:t xml:space="preserve">work activities, job roles and geographic areas most </w:t>
      </w:r>
      <w:r>
        <w:t>‘</w:t>
      </w:r>
      <w:r w:rsidRPr="00CE67D7">
        <w:t>at risk</w:t>
      </w:r>
      <w:r>
        <w:t>’</w:t>
      </w:r>
      <w:r w:rsidRPr="00CE67D7">
        <w:t xml:space="preserve"> of equine disease infection </w:t>
      </w:r>
    </w:p>
    <w:p w:rsidR="00000000" w:rsidRPr="00CE67D7" w:rsidP="00CE67D7">
      <w:pPr>
        <w:pStyle w:val="ListBullet"/>
      </w:pPr>
      <w:r w:rsidRPr="00CE67D7">
        <w:t>notifiable conditions and diseases, includi</w:t>
      </w:r>
      <w:r w:rsidRPr="00CE67D7">
        <w:t>ng:</w:t>
      </w:r>
    </w:p>
    <w:p w:rsidR="00000000" w:rsidRPr="00CE67D7" w:rsidP="00CE67D7">
      <w:pPr>
        <w:pStyle w:val="ListBullet2"/>
      </w:pPr>
      <w:r w:rsidRPr="00CE67D7">
        <w:t xml:space="preserve">seeking advice from a veterinarian </w:t>
      </w:r>
    </w:p>
    <w:p w:rsidR="00000000" w:rsidRPr="00CE67D7" w:rsidP="00CE67D7">
      <w:pPr>
        <w:pStyle w:val="ListBullet2"/>
      </w:pPr>
      <w:r w:rsidRPr="00CE67D7">
        <w:t>state or territory regulations about reporting</w:t>
      </w:r>
    </w:p>
    <w:p w:rsidR="00000000" w:rsidRPr="00CE67D7" w:rsidP="00CE67D7">
      <w:pPr>
        <w:pStyle w:val="ListBullet2"/>
      </w:pPr>
      <w:r w:rsidRPr="00CE67D7">
        <w:t>responsibilities for reporting</w:t>
      </w:r>
    </w:p>
    <w:p w:rsidR="00000000" w:rsidRPr="00CE67D7" w:rsidP="00CE67D7">
      <w:pPr>
        <w:pStyle w:val="ListBullet2"/>
      </w:pPr>
      <w:r w:rsidRPr="00CE67D7">
        <w:t>reasons for reporting.</w:t>
      </w:r>
    </w:p>
    <w:p w:rsidR="00000000" w:rsidRPr="00CE67D7" w:rsidP="00CE67D7">
      <w:pPr>
        <w:pStyle w:val="AllowPageBreak"/>
      </w:pPr>
    </w:p>
    <w:p w:rsidR="00000000" w:rsidRPr="00CE67D7" w:rsidP="00CE67D7">
      <w:pPr>
        <w:pStyle w:val="Heading1"/>
      </w:pPr>
      <w:bookmarkStart w:id="4" w:name="O_991921"/>
      <w:bookmarkEnd w:id="4"/>
      <w:r w:rsidRPr="00CE67D7">
        <w:t>Assessment Conditions</w:t>
      </w:r>
    </w:p>
    <w:p w:rsidR="00000000" w:rsidRPr="00CE67D7" w:rsidP="00BF6E2B">
      <w:pPr>
        <w:pStyle w:val="BodyText"/>
      </w:pPr>
      <w:r w:rsidRPr="00CE67D7">
        <w:t xml:space="preserve">Assessment of skills must take place under the following conditions: </w:t>
      </w:r>
    </w:p>
    <w:p w:rsidR="00000000" w:rsidRPr="00CE67D7" w:rsidP="00CE67D7">
      <w:pPr>
        <w:pStyle w:val="ListBullet"/>
      </w:pPr>
      <w:r w:rsidRPr="00CE67D7">
        <w:t>physical conditions:</w:t>
      </w:r>
    </w:p>
    <w:p w:rsidR="00000000" w:rsidRPr="00CE67D7" w:rsidP="00CE67D7">
      <w:pPr>
        <w:pStyle w:val="ListBullet2"/>
      </w:pPr>
      <w:r w:rsidRPr="00CE67D7">
        <w:t>skills must be demonstrated in an equine venue or worksite or an environment that accurately represents workplace conditions</w:t>
      </w:r>
    </w:p>
    <w:p w:rsidR="00000000" w:rsidRPr="00CE67D7" w:rsidP="00CE67D7">
      <w:pPr>
        <w:pStyle w:val="ListBullet"/>
      </w:pPr>
      <w:r w:rsidRPr="00CE67D7">
        <w:t>resources, equipment and materials:</w:t>
      </w:r>
    </w:p>
    <w:p w:rsidR="00000000" w:rsidRPr="00CE67D7" w:rsidP="00CE67D7">
      <w:pPr>
        <w:pStyle w:val="ListBullet2"/>
      </w:pPr>
      <w:r w:rsidRPr="00CE67D7">
        <w:t>access to current research information on biosecurity and infection con</w:t>
      </w:r>
      <w:r w:rsidRPr="00CE67D7">
        <w:t>trol relevant to equine work sites</w:t>
      </w:r>
    </w:p>
    <w:p w:rsidR="00000000" w:rsidRPr="00CE67D7" w:rsidP="00CE67D7">
      <w:pPr>
        <w:pStyle w:val="ListBullet2"/>
      </w:pPr>
      <w:r w:rsidRPr="00CE67D7">
        <w:t>templates or guidelines for biosecurity and infection control plans.</w:t>
      </w:r>
    </w:p>
    <w:p w:rsidR="00000000" w:rsidRPr="00CE67D7" w:rsidP="00BF6E2B">
      <w:pPr>
        <w:pStyle w:val="BodyText"/>
      </w:pPr>
      <w:r w:rsidRPr="00CE67D7">
        <w:t xml:space="preserve">Training and assessment strategies must show evidence of the use of guidance provided in the </w:t>
      </w:r>
      <w:r w:rsidRPr="00CE67D7">
        <w:rPr>
          <w:rStyle w:val="Emphasis"/>
        </w:rPr>
        <w:t xml:space="preserve">Companion Volume: User Guide: Safety in Equine Training. </w:t>
      </w:r>
    </w:p>
    <w:p w:rsidR="00000000" w:rsidRPr="00CE67D7" w:rsidP="00BF6E2B">
      <w:pPr>
        <w:pStyle w:val="BodyText"/>
      </w:pPr>
      <w:r w:rsidRPr="00CE67D7">
        <w:t>A</w:t>
      </w:r>
      <w:r w:rsidRPr="00CE67D7">
        <w:t>ssessors of this unit must satisfy the requirements for assessors in applicable vocational education and training legislation, frameworks and/or standards.</w:t>
      </w:r>
    </w:p>
    <w:p w:rsidR="00000000" w:rsidRPr="00CE67D7" w:rsidP="00CE67D7">
      <w:pPr>
        <w:pStyle w:val="Heading1"/>
      </w:pPr>
      <w:bookmarkStart w:id="5" w:name="O_991924"/>
      <w:bookmarkEnd w:id="5"/>
      <w:r w:rsidRPr="00CE67D7">
        <w:t>Links</w:t>
      </w:r>
    </w:p>
    <w:p w:rsidR="00000000" w:rsidRPr="00CE67D7" w:rsidP="00BF6E2B">
      <w:pPr>
        <w:pStyle w:val="BodyText"/>
      </w:pPr>
      <w:r w:rsidRPr="00CE67D7">
        <w:t xml:space="preserve">Companion Volumes, including Implementation Guides, are available at VETNet: </w:t>
      </w:r>
      <w:r w:rsidRPr="00CE67D7">
        <w:t xml:space="preserve">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F617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E67D7" w:rsidP="00CE67D7"/>
    <w:sectPr w:rsidSect="00CE67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D7" w:rsidRPr="00BF6E2B" w:rsidP="00BF6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E2B" w:rsidP="00CE6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E2B" w:rsidP="00CE6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6E2B" w:rsidP="00CE6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7D7" w:rsidRPr="00BF6E2B" w:rsidP="00BF6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E2B" w:rsidRPr="002D2AF8" w:rsidP="00CE6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ACMINF502 Manage equine biosecurity and infection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F6E2B" w:rsidP="00CE6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7E5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24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2C21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7D7"/>
  </w:style>
  <w:style w:type="character" w:customStyle="1" w:styleId="Heading1Char">
    <w:name w:val="Heading 1 Char"/>
    <w:basedOn w:val="DefaultParagraphFont"/>
    <w:link w:val="Heading1"/>
    <w:rsid w:val="00CE6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7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7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7D7"/>
    <w:rPr>
      <w:b/>
      <w:spacing w:val="0"/>
    </w:rPr>
  </w:style>
  <w:style w:type="paragraph" w:styleId="ListBullet2">
    <w:name w:val="List Bullet 2"/>
    <w:basedOn w:val="List2"/>
    <w:rsid w:val="00CE67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67D7"/>
    <w:rPr>
      <w:i/>
    </w:rPr>
  </w:style>
  <w:style w:type="paragraph" w:customStyle="1" w:styleId="SuperHeading">
    <w:name w:val="SuperHeading"/>
    <w:basedOn w:val="Normal"/>
    <w:rsid w:val="00CE6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7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7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6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7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7D7"/>
  </w:style>
  <w:style w:type="paragraph" w:styleId="TableofFigures">
    <w:name w:val="table of figures"/>
    <w:basedOn w:val="Normal"/>
    <w:next w:val="Normal"/>
    <w:semiHidden/>
    <w:rsid w:val="00CE6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7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67D7"/>
    <w:rPr>
      <w:rFonts w:ascii="Wingdings" w:hAnsi="Wingdings"/>
    </w:rPr>
  </w:style>
  <w:style w:type="paragraph" w:customStyle="1" w:styleId="TableHeading">
    <w:name w:val="Table Heading"/>
    <w:basedOn w:val="HeadingBase"/>
    <w:rsid w:val="00CE67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7D7"/>
    <w:rPr>
      <w:color w:val="0033CC"/>
      <w:u w:val="none"/>
    </w:rPr>
  </w:style>
  <w:style w:type="paragraph" w:customStyle="1" w:styleId="BodyTextRight">
    <w:name w:val="Body Text Right"/>
    <w:basedOn w:val="BodyText"/>
    <w:rsid w:val="00CE6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7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7D7"/>
    <w:rPr>
      <w:sz w:val="32"/>
    </w:rPr>
  </w:style>
  <w:style w:type="paragraph" w:customStyle="1" w:styleId="HeadingProcedure">
    <w:name w:val="Heading Procedure"/>
    <w:basedOn w:val="HeadingBase"/>
    <w:next w:val="Normal"/>
    <w:rsid w:val="00CE6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7D7"/>
    <w:pPr>
      <w:spacing w:before="60" w:after="60"/>
    </w:pPr>
  </w:style>
  <w:style w:type="paragraph" w:styleId="ListContinue">
    <w:name w:val="List Continue"/>
    <w:basedOn w:val="List"/>
    <w:rsid w:val="00CE67D7"/>
    <w:pPr>
      <w:ind w:firstLine="0"/>
    </w:pPr>
  </w:style>
  <w:style w:type="paragraph" w:customStyle="1" w:styleId="ListNote">
    <w:name w:val="List Note"/>
    <w:basedOn w:val="List"/>
    <w:rsid w:val="00CE6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7D7"/>
    <w:rPr>
      <w:rFonts w:ascii="Courier New" w:hAnsi="Courier New"/>
    </w:rPr>
  </w:style>
  <w:style w:type="paragraph" w:customStyle="1" w:styleId="NoteBullet">
    <w:name w:val="Note Bullet"/>
    <w:basedOn w:val="Note"/>
    <w:rsid w:val="00CE6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7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6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7D7"/>
    <w:rPr>
      <w:b/>
      <w:smallCaps/>
    </w:rPr>
  </w:style>
  <w:style w:type="paragraph" w:customStyle="1" w:styleId="TableListNumber">
    <w:name w:val="Table List Number"/>
    <w:basedOn w:val="ListNumber"/>
    <w:rsid w:val="00CE6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7D7"/>
    <w:pPr>
      <w:numPr>
        <w:numId w:val="9"/>
      </w:numPr>
    </w:pPr>
  </w:style>
  <w:style w:type="paragraph" w:customStyle="1" w:styleId="ListAlpha2">
    <w:name w:val="List Alpha 2"/>
    <w:basedOn w:val="List2"/>
    <w:rsid w:val="00CE67D7"/>
    <w:pPr>
      <w:numPr>
        <w:numId w:val="8"/>
      </w:numPr>
    </w:pPr>
  </w:style>
  <w:style w:type="paragraph" w:styleId="List2">
    <w:name w:val="List 2"/>
    <w:basedOn w:val="BodyText"/>
    <w:rsid w:val="00CE6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7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7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67D7"/>
    <w:pPr>
      <w:numPr>
        <w:numId w:val="4"/>
      </w:numPr>
    </w:pPr>
  </w:style>
  <w:style w:type="paragraph" w:styleId="ListContinue2">
    <w:name w:val="List Continue 2"/>
    <w:basedOn w:val="List2"/>
    <w:rsid w:val="00CE67D7"/>
    <w:pPr>
      <w:ind w:firstLine="0"/>
    </w:pPr>
  </w:style>
  <w:style w:type="paragraph" w:styleId="ListContinue3">
    <w:name w:val="List Continue 3"/>
    <w:basedOn w:val="List3"/>
    <w:rsid w:val="00CE67D7"/>
    <w:pPr>
      <w:ind w:left="1021" w:firstLine="0"/>
    </w:pPr>
  </w:style>
  <w:style w:type="paragraph" w:styleId="ListContinue4">
    <w:name w:val="List Continue 4"/>
    <w:basedOn w:val="List4"/>
    <w:rsid w:val="00CE67D7"/>
    <w:pPr>
      <w:ind w:firstLine="0"/>
    </w:pPr>
  </w:style>
  <w:style w:type="paragraph" w:styleId="ListContinue5">
    <w:name w:val="List Continue 5"/>
    <w:basedOn w:val="List5"/>
    <w:rsid w:val="00CE67D7"/>
    <w:pPr>
      <w:ind w:firstLine="0"/>
    </w:pPr>
  </w:style>
  <w:style w:type="paragraph" w:styleId="ListNumber3">
    <w:name w:val="List Number 3"/>
    <w:basedOn w:val="List3"/>
    <w:rsid w:val="00CE67D7"/>
    <w:pPr>
      <w:numPr>
        <w:numId w:val="5"/>
      </w:numPr>
    </w:pPr>
  </w:style>
  <w:style w:type="paragraph" w:styleId="ListNumber4">
    <w:name w:val="List Number 4"/>
    <w:basedOn w:val="List4"/>
    <w:rsid w:val="00CE67D7"/>
    <w:pPr>
      <w:numPr>
        <w:numId w:val="6"/>
      </w:numPr>
    </w:pPr>
  </w:style>
  <w:style w:type="paragraph" w:styleId="ListNumber5">
    <w:name w:val="List Number 5"/>
    <w:basedOn w:val="List5"/>
    <w:rsid w:val="00CE67D7"/>
    <w:pPr>
      <w:numPr>
        <w:numId w:val="7"/>
      </w:numPr>
    </w:pPr>
  </w:style>
  <w:style w:type="paragraph" w:styleId="BlockText">
    <w:name w:val="Block Text"/>
    <w:basedOn w:val="Normal"/>
    <w:rsid w:val="00CE6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7D7"/>
    <w:rPr>
      <w:sz w:val="16"/>
      <w:vertAlign w:val="superscript"/>
    </w:rPr>
  </w:style>
  <w:style w:type="character" w:customStyle="1" w:styleId="Symbols">
    <w:name w:val="Symbols"/>
    <w:basedOn w:val="DefaultParagraphFont"/>
    <w:rsid w:val="00CE67D7"/>
    <w:rPr>
      <w:rFonts w:ascii="Symbol" w:hAnsi="Symbol"/>
    </w:rPr>
  </w:style>
  <w:style w:type="character" w:customStyle="1" w:styleId="MenuOptions">
    <w:name w:val="Menu Options"/>
    <w:basedOn w:val="DefaultParagraphFont"/>
    <w:rsid w:val="00CE6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7D7"/>
    <w:rPr>
      <w:b/>
    </w:rPr>
  </w:style>
  <w:style w:type="character" w:customStyle="1" w:styleId="Underlined">
    <w:name w:val="Underlined"/>
    <w:basedOn w:val="DefaultParagraphFont"/>
    <w:rsid w:val="00CE67D7"/>
    <w:rPr>
      <w:u w:val="single"/>
    </w:rPr>
  </w:style>
  <w:style w:type="paragraph" w:customStyle="1" w:styleId="TableBodyTextRight">
    <w:name w:val="Table Body Text Right"/>
    <w:basedOn w:val="TableBodyText"/>
    <w:rsid w:val="00CE6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7D7"/>
    <w:rPr>
      <w:sz w:val="18"/>
    </w:rPr>
  </w:style>
  <w:style w:type="paragraph" w:customStyle="1" w:styleId="BodySmallRight">
    <w:name w:val="Body Small Right"/>
    <w:basedOn w:val="BodyTextRight"/>
    <w:rsid w:val="00CE67D7"/>
    <w:rPr>
      <w:sz w:val="18"/>
      <w:szCs w:val="18"/>
    </w:rPr>
  </w:style>
  <w:style w:type="paragraph" w:customStyle="1" w:styleId="MarginEdition">
    <w:name w:val="Margin Edition"/>
    <w:basedOn w:val="MarginNote"/>
    <w:rsid w:val="00CE6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7D7"/>
    <w:rPr>
      <w:sz w:val="2"/>
      <w:szCs w:val="2"/>
    </w:rPr>
  </w:style>
  <w:style w:type="character" w:customStyle="1" w:styleId="Small">
    <w:name w:val="Small"/>
    <w:basedOn w:val="DefaultParagraphFont"/>
    <w:rsid w:val="00CE67D7"/>
    <w:rPr>
      <w:sz w:val="16"/>
    </w:rPr>
  </w:style>
  <w:style w:type="paragraph" w:customStyle="1" w:styleId="WideTable">
    <w:name w:val="Wide Table"/>
    <w:basedOn w:val="Normal"/>
    <w:rsid w:val="00CE6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7D7"/>
  </w:style>
  <w:style w:type="paragraph" w:styleId="Quote">
    <w:name w:val="Quote"/>
    <w:basedOn w:val="Heading1"/>
    <w:link w:val="QuoteChar"/>
    <w:qFormat/>
    <w:rsid w:val="00CE6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7D7"/>
    <w:pPr>
      <w:pageBreakBefore/>
    </w:pPr>
  </w:style>
  <w:style w:type="paragraph" w:customStyle="1" w:styleId="Border">
    <w:name w:val="Border"/>
    <w:basedOn w:val="Normal"/>
    <w:qFormat/>
    <w:rsid w:val="00CE6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7D7"/>
    <w:rPr>
      <w:u w:val="single"/>
    </w:rPr>
  </w:style>
  <w:style w:type="character" w:customStyle="1" w:styleId="BoldandItalics">
    <w:name w:val="Bold and Italics"/>
    <w:qFormat/>
    <w:rsid w:val="00CE67D7"/>
    <w:rPr>
      <w:b/>
      <w:i/>
      <w:u w:val="none"/>
    </w:rPr>
  </w:style>
  <w:style w:type="paragraph" w:styleId="BalloonText">
    <w:name w:val="Balloon Text"/>
    <w:basedOn w:val="Normal"/>
    <w:link w:val="BalloonTextChar"/>
    <w:rsid w:val="00CE6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7D7"/>
    <w:pPr>
      <w:spacing w:before="0" w:after="0"/>
    </w:pPr>
  </w:style>
  <w:style w:type="paragraph" w:customStyle="1" w:styleId="BodyTextBold">
    <w:name w:val="Body Text Bold"/>
    <w:basedOn w:val="BodyText"/>
    <w:qFormat/>
    <w:rsid w:val="00CE67D7"/>
    <w:rPr>
      <w:b/>
    </w:rPr>
  </w:style>
  <w:style w:type="character" w:styleId="Hyperlink">
    <w:name w:val="Hyperlink"/>
    <w:basedOn w:val="DefaultParagraphFont"/>
    <w:uiPriority w:val="99"/>
    <w:unhideWhenUsed/>
    <w:rsid w:val="00BF6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5006</Characters>
  <Application>Microsoft Office Word</Application>
  <DocSecurity>0</DocSecurity>
  <Lines>128</Lines>
  <Paragraphs>113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ACMINF502 Manage equine biosecurity and infection control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