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01D" w:rsidP="009E40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ACMHBR308 Maintain horses in a healthy state</w:t>
      </w:r>
      <w:r>
        <w:fldChar w:fldCharType="end"/>
      </w:r>
    </w:p>
    <w:p w:rsidR="009E401D" w:rsidP="009E401D">
      <w:pPr>
        <w:pStyle w:val="Version"/>
        <w:sectPr w:rsidSect="00C501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115" w:rsidP="00C50115">
      <w:pPr>
        <w:pStyle w:val="SuperHeading"/>
      </w:pPr>
      <w:r w:rsidRPr="00C50115">
        <w:t>ACMHBR308 Maintain horses in a healthy state</w:t>
      </w:r>
    </w:p>
    <w:p w:rsidR="00000000" w:rsidRPr="00C50115" w:rsidP="00C50115">
      <w:pPr>
        <w:pStyle w:val="Heading1"/>
      </w:pPr>
      <w:bookmarkStart w:id="1" w:name="O_870395"/>
      <w:bookmarkEnd w:id="1"/>
      <w:r w:rsidRPr="00C5011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rPr>
                <w:rStyle w:val="SpecialBold"/>
              </w:rPr>
              <w:t>Comments</w:t>
            </w:r>
          </w:p>
        </w:tc>
      </w:tr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t>This version released with ACM Animal Care and Management Training Package Version 1.0.</w:t>
            </w:r>
          </w:p>
        </w:tc>
      </w:tr>
    </w:tbl>
    <w:p w:rsidR="00000000" w:rsidRPr="00C50115" w:rsidP="00C50115">
      <w:pPr>
        <w:pStyle w:val="BodyText"/>
      </w:pPr>
    </w:p>
    <w:p w:rsidR="00000000" w:rsidRPr="00C50115" w:rsidP="00C50115">
      <w:pPr>
        <w:pStyle w:val="AllowPageBreak"/>
      </w:pPr>
    </w:p>
    <w:p w:rsidR="00000000" w:rsidRPr="00C50115" w:rsidP="00C50115">
      <w:pPr>
        <w:pStyle w:val="Heading1"/>
      </w:pPr>
      <w:bookmarkStart w:id="2" w:name="O_870396"/>
      <w:bookmarkEnd w:id="2"/>
      <w:r w:rsidRPr="00C50115">
        <w:t>Application</w:t>
      </w:r>
    </w:p>
    <w:p w:rsidR="00000000" w:rsidRPr="00C50115" w:rsidP="009E401D">
      <w:pPr>
        <w:pStyle w:val="BodyText"/>
      </w:pPr>
      <w:r w:rsidRPr="00C50115">
        <w:t>This unit of competency describes the skills and knowledge required to maintain horses i</w:t>
      </w:r>
      <w:r w:rsidRPr="00C50115">
        <w:t>n a healthy state, including maintaining a safe horse environment, assisting with vaccination programs, and implementing horse health and hoof care programs and maintenance.</w:t>
      </w:r>
    </w:p>
    <w:p w:rsidR="00000000" w:rsidRPr="00C50115" w:rsidP="009E401D">
      <w:pPr>
        <w:pStyle w:val="BodyText"/>
      </w:pPr>
      <w:r w:rsidRPr="00C50115">
        <w:t>The unit applies to individuals who work under broad direction and take responsibi</w:t>
      </w:r>
      <w:r w:rsidRPr="00C50115">
        <w:t>lity for their own work. They complete routine activities and work in a range of known contexts within horse breeding or other horse industry environments.</w:t>
      </w:r>
    </w:p>
    <w:p w:rsidR="00000000" w:rsidRPr="00C50115" w:rsidP="009E401D">
      <w:pPr>
        <w:pStyle w:val="BodyText"/>
      </w:pPr>
      <w:r w:rsidRPr="00C50115">
        <w:t>No occupational licensing or certification requirements apply to this unit at the time of publicatio</w:t>
      </w:r>
      <w:r w:rsidRPr="00C50115">
        <w:t>n.</w:t>
      </w:r>
    </w:p>
    <w:p w:rsidR="00000000" w:rsidRPr="00C50115" w:rsidP="009E401D">
      <w:pPr>
        <w:pStyle w:val="BodyText"/>
      </w:pPr>
      <w:r w:rsidRPr="00C50115">
        <w:t>Work health and safety and animal welfare legislation relevant to interacting with horses applies to workers in this industry. Requirements vary between industry sectors and state/territory jurisdictions. Users are advised to check with the relevant aut</w:t>
      </w:r>
      <w:r w:rsidRPr="00C50115">
        <w:t>hority for specific requirements.</w:t>
      </w:r>
    </w:p>
    <w:p w:rsidR="00000000" w:rsidRPr="00C50115" w:rsidP="009E401D">
      <w:pPr>
        <w:pStyle w:val="BodyText"/>
      </w:pPr>
      <w:r w:rsidRPr="00C50115">
        <w:t xml:space="preserve">NOTE: The terms </w:t>
      </w:r>
      <w:r>
        <w:t>‘</w:t>
      </w:r>
      <w:r w:rsidRPr="00C50115">
        <w:t>occupational health and safety</w:t>
      </w:r>
      <w:r>
        <w:t>’</w:t>
      </w:r>
      <w:r w:rsidRPr="00C50115">
        <w:t xml:space="preserve"> (OHS) and </w:t>
      </w:r>
      <w:r>
        <w:t>‘</w:t>
      </w:r>
      <w:r w:rsidRPr="00C50115">
        <w:t>work health and safety</w:t>
      </w:r>
      <w:r>
        <w:t>’</w:t>
      </w:r>
      <w:r w:rsidRPr="00C50115">
        <w:t xml:space="preserve"> (WHS) generally have the same meaning in the workplace. In jurisdictions where the national model WHS legislation has not been implemented</w:t>
      </w:r>
      <w:r w:rsidRPr="00C50115">
        <w:t>, RTOs must contextualise the unit of competency by referring to current OHS legislative requirements.</w:t>
      </w:r>
    </w:p>
    <w:p w:rsidR="00000000" w:rsidRPr="00C50115" w:rsidP="00C50115">
      <w:pPr>
        <w:pStyle w:val="Heading1"/>
      </w:pPr>
      <w:bookmarkStart w:id="3" w:name="O_870397"/>
      <w:bookmarkEnd w:id="3"/>
      <w:r w:rsidRPr="00C50115">
        <w:t>Pre-requisite Unit</w:t>
      </w:r>
    </w:p>
    <w:p w:rsidR="00000000" w:rsidRPr="00C50115" w:rsidP="009E401D">
      <w:pPr>
        <w:pStyle w:val="BodyText"/>
      </w:pPr>
      <w:r w:rsidRPr="00C50115">
        <w:t>Prerequisite unit of competency for this unit is:</w:t>
      </w:r>
    </w:p>
    <w:p w:rsidR="00000000" w:rsidRPr="00C50115" w:rsidP="00C50115">
      <w:pPr>
        <w:pStyle w:val="ListBullet"/>
      </w:pPr>
      <w:r w:rsidRPr="00C50115">
        <w:t>ACMEQU202 Handle horses safely.</w:t>
      </w:r>
    </w:p>
    <w:p w:rsidR="00000000" w:rsidRPr="00C50115" w:rsidP="00C50115">
      <w:pPr>
        <w:pStyle w:val="BodyText"/>
      </w:pPr>
    </w:p>
    <w:p w:rsidR="00000000" w:rsidRPr="00C50115" w:rsidP="009E401D">
      <w:pPr>
        <w:pStyle w:val="BodyText"/>
      </w:pPr>
      <w:r w:rsidRPr="00C50115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C50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rPr>
                <w:rStyle w:val="SpecialBold"/>
              </w:rPr>
              <w:t>Prerequisite requirement</w:t>
            </w:r>
          </w:p>
        </w:tc>
      </w:tr>
      <w:tr w:rsidTr="00C50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ACMEQU202 Handle horses safely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t>ACMEQU205 Apply knowledge of horse behaviour</w:t>
            </w:r>
          </w:p>
        </w:tc>
      </w:tr>
    </w:tbl>
    <w:p w:rsidR="00000000" w:rsidRPr="00C50115" w:rsidP="00C50115">
      <w:pPr>
        <w:pStyle w:val="BodyText"/>
      </w:pPr>
    </w:p>
    <w:p w:rsidR="00000000" w:rsidRPr="00C50115" w:rsidP="00C50115">
      <w:pPr>
        <w:pStyle w:val="AllowPageBreak"/>
      </w:pPr>
    </w:p>
    <w:p w:rsidR="00000000" w:rsidRPr="00C50115" w:rsidP="00C50115">
      <w:pPr>
        <w:pStyle w:val="Heading1"/>
      </w:pPr>
      <w:bookmarkStart w:id="4" w:name="O_870399"/>
      <w:bookmarkEnd w:id="4"/>
      <w:r w:rsidRPr="00C50115">
        <w:t>Unit Sector</w:t>
      </w:r>
    </w:p>
    <w:p w:rsidR="00000000" w:rsidRPr="00C50115" w:rsidP="009E401D">
      <w:pPr>
        <w:pStyle w:val="BodyText"/>
      </w:pPr>
      <w:r w:rsidRPr="00C50115">
        <w:t>Horse Breeding (HBR)</w:t>
      </w:r>
    </w:p>
    <w:p w:rsidR="00000000" w:rsidRPr="00C50115" w:rsidP="00C50115">
      <w:pPr>
        <w:pStyle w:val="Heading1"/>
      </w:pPr>
      <w:bookmarkStart w:id="5" w:name="O_870400"/>
      <w:bookmarkEnd w:id="5"/>
      <w:r w:rsidRPr="00C50115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9E40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rPr>
                <w:rStyle w:val="SpecialBold"/>
              </w:rPr>
              <w:t>Performance Criteria</w:t>
            </w:r>
          </w:p>
        </w:tc>
      </w:tr>
      <w:tr w:rsidTr="009E40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40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1. Maintain horse environment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t>1.1 Assess risks and implement control measures within horse environment</w:t>
            </w:r>
          </w:p>
          <w:p w:rsidR="00000000" w:rsidRPr="00C50115" w:rsidP="00C50115">
            <w:pPr>
              <w:pStyle w:val="BodyText"/>
            </w:pPr>
            <w:r w:rsidRPr="00C50115">
              <w:t>1.2 Arrange housing to meet the individual needs of the animal</w:t>
            </w:r>
          </w:p>
          <w:p w:rsidR="00000000" w:rsidRPr="00C50115" w:rsidP="00C50115">
            <w:pPr>
              <w:pStyle w:val="BodyText"/>
            </w:pPr>
            <w:r w:rsidRPr="00C50115">
              <w:t>1.3 Maintain animal environment according to animal welfare principles and workplace requirements</w:t>
            </w:r>
          </w:p>
          <w:p w:rsidR="00000000" w:rsidRPr="00C50115" w:rsidP="00C50115">
            <w:pPr>
              <w:pStyle w:val="BodyText"/>
            </w:pPr>
            <w:r w:rsidRPr="00C50115">
              <w:t>1.4 Clean and maintain</w:t>
            </w:r>
            <w:r w:rsidRPr="00C50115">
              <w:t xml:space="preserve"> food storage areas and water supply</w:t>
            </w:r>
          </w:p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1.5 Establish and monitor routine cleaning and maintenance programs for stables, yards and paddocks</w:t>
            </w:r>
          </w:p>
        </w:tc>
      </w:tr>
      <w:tr w:rsidTr="009E40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2. Assist with a horse vaccination program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t>2.1 Identify vaccination requirements for different horse classes</w:t>
            </w:r>
          </w:p>
          <w:p w:rsidR="00000000" w:rsidRPr="00C50115" w:rsidP="00C50115">
            <w:pPr>
              <w:pStyle w:val="BodyText"/>
            </w:pPr>
            <w:r w:rsidRPr="00C50115">
              <w:t>2.2 Maint</w:t>
            </w:r>
            <w:r w:rsidRPr="00C50115">
              <w:t>ain vaccination program according to agreed schedule and supervisor instructions</w:t>
            </w:r>
          </w:p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2.3 Maintain accurate vaccination records</w:t>
            </w:r>
          </w:p>
        </w:tc>
      </w:tr>
      <w:tr w:rsidTr="009E40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3. Implement a horse health maintenance program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t>3.1 Conduct regular check of animals for signs of illness or injury using safe horse</w:t>
            </w:r>
            <w:r w:rsidRPr="00C50115">
              <w:t xml:space="preserve"> handling techniques</w:t>
            </w:r>
          </w:p>
          <w:p w:rsidR="00000000" w:rsidRPr="00C50115" w:rsidP="00C50115">
            <w:pPr>
              <w:pStyle w:val="BodyText"/>
            </w:pPr>
            <w:r w:rsidRPr="00C50115">
              <w:t>3.2 Identify causes and symptoms of common illnesses, injuries and parasitic infections, and provide treatment under supervision</w:t>
            </w:r>
          </w:p>
          <w:p w:rsidR="00000000" w:rsidRPr="00C50115" w:rsidP="00C50115">
            <w:pPr>
              <w:pStyle w:val="BodyText"/>
            </w:pPr>
            <w:r w:rsidRPr="00C50115">
              <w:t>3.3 Detect internal and external parasites and assess their impact</w:t>
            </w:r>
          </w:p>
          <w:p w:rsidR="00000000" w:rsidRPr="00C50115" w:rsidP="00C50115">
            <w:pPr>
              <w:pStyle w:val="BodyText"/>
            </w:pPr>
            <w:r w:rsidRPr="00C50115">
              <w:t>3.4 Identify communicable diseases and implement control measures</w:t>
            </w:r>
          </w:p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3.5 Establish maintenance program and monitor internal and external parasite control</w:t>
            </w:r>
          </w:p>
        </w:tc>
      </w:tr>
      <w:tr w:rsidTr="009E40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4. Implement a hoof care and maintenance program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t>4.1 Recognise common hoof diseases and injuries and pro</w:t>
            </w:r>
            <w:r w:rsidRPr="00C50115">
              <w:t>vide appropriate treatment or refer to specialist</w:t>
            </w:r>
          </w:p>
          <w:p w:rsidR="00000000" w:rsidRPr="00C50115" w:rsidP="00C50115">
            <w:pPr>
              <w:pStyle w:val="BodyText"/>
            </w:pPr>
            <w:r w:rsidRPr="00C50115">
              <w:t>4.2 Identify and report common gait abnormalities and arrange treatment</w:t>
            </w:r>
          </w:p>
          <w:p w:rsidR="00000000" w:rsidRPr="00C50115" w:rsidP="00C50115">
            <w:pPr>
              <w:pStyle w:val="BodyText"/>
            </w:pPr>
            <w:r w:rsidRPr="00C50115">
              <w:t>4.3 Ensure hoof care, shoeing, and corrective measures are appropriate to horse welfare and training program</w:t>
            </w:r>
          </w:p>
          <w:p w:rsidR="00000000" w:rsidRPr="00C50115" w:rsidP="00C50115">
            <w:pPr>
              <w:pStyle w:val="BodyText"/>
            </w:pPr>
            <w:r w:rsidRPr="00C50115">
              <w:t>4.4 Maintain communicatio</w:t>
            </w:r>
            <w:r w:rsidRPr="00C50115">
              <w:t xml:space="preserve">n with farriers and update work records </w:t>
            </w:r>
            <w:r w:rsidRPr="00C50115">
              <w:t>according to workplace procedures</w:t>
            </w:r>
          </w:p>
          <w:p w:rsidR="00000000" w:rsidRPr="00C50115" w:rsidP="00C50115">
            <w:pPr>
              <w:pStyle w:val="BodyText"/>
            </w:pPr>
            <w:r w:rsidRPr="00C50115">
              <w:t>4.5 Maintain regular hoof care routine</w:t>
            </w:r>
          </w:p>
        </w:tc>
      </w:tr>
    </w:tbl>
    <w:p w:rsidR="00000000" w:rsidRPr="00C50115" w:rsidP="00C50115">
      <w:pPr>
        <w:pStyle w:val="BodyText"/>
      </w:pPr>
    </w:p>
    <w:p w:rsidR="00000000" w:rsidRPr="00C50115" w:rsidP="00C50115">
      <w:pPr>
        <w:pStyle w:val="AllowPageBreak"/>
      </w:pPr>
    </w:p>
    <w:p w:rsidR="00000000" w:rsidRPr="00C50115" w:rsidP="00C50115">
      <w:pPr>
        <w:pStyle w:val="Heading1"/>
      </w:pPr>
      <w:bookmarkStart w:id="6" w:name="O_870401"/>
      <w:bookmarkEnd w:id="6"/>
      <w:r w:rsidRPr="00C50115">
        <w:t>Foundation Skills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  <w:tblHeader/>
        </w:trPr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rPr>
                <w:rStyle w:val="Emphasis"/>
              </w:rPr>
              <w:t>This section describes those language, literacy, numeracy and employment skills that are essential for per</w:t>
            </w:r>
            <w:r w:rsidRPr="00C50115">
              <w:rPr>
                <w:rStyle w:val="Emphasis"/>
              </w:rPr>
              <w:t>formance in this unit of competency but are not explicit in the performance criteria.</w:t>
            </w:r>
          </w:p>
        </w:tc>
      </w:tr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rPr>
                <w:rStyle w:val="SpecialBold"/>
              </w:rPr>
              <w:t>Description</w:t>
            </w:r>
          </w:p>
        </w:tc>
      </w:tr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ListBullet"/>
              <w:rPr>
                <w:lang w:val="en-NZ"/>
              </w:rPr>
            </w:pPr>
            <w:r w:rsidRPr="00C50115">
              <w:t>Interpret key information in horse health programs</w:t>
            </w:r>
          </w:p>
        </w:tc>
      </w:tr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ListBullet"/>
              <w:rPr>
                <w:lang w:val="en-NZ"/>
              </w:rPr>
            </w:pPr>
            <w:r w:rsidRPr="00C50115">
              <w:t>Keep accurate records of horse health and treatments</w:t>
            </w:r>
          </w:p>
        </w:tc>
      </w:tr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ListBullet"/>
              <w:rPr>
                <w:lang w:val="en-NZ"/>
              </w:rPr>
            </w:pPr>
            <w:r w:rsidRPr="00C50115">
              <w:t>Measure and interpret temperature, respiration rate, hydration, and heart rate</w:t>
            </w:r>
          </w:p>
        </w:tc>
      </w:tr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ListBullet"/>
              <w:rPr>
                <w:lang w:val="en-NZ"/>
              </w:rPr>
            </w:pPr>
            <w:r w:rsidRPr="00C50115">
              <w:t>Participate in verbal exchanges to convey and elicit information about horse health maintenance with a range of personnel</w:t>
            </w:r>
          </w:p>
        </w:tc>
      </w:tr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ListBullet"/>
              <w:rPr>
                <w:lang w:val="en-NZ"/>
              </w:rPr>
            </w:pPr>
            <w:r w:rsidRPr="00C50115">
              <w:t xml:space="preserve">Take </w:t>
            </w:r>
            <w:r w:rsidRPr="00C50115">
              <w:t>responsibility for following workplace procedures, including safe work, safe horse handling practices and animal welfare principles, relating to own role and work area</w:t>
            </w:r>
          </w:p>
        </w:tc>
      </w:tr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ListBullet"/>
            </w:pPr>
            <w:r w:rsidRPr="00C50115">
              <w:t>Develop and maintain strong reporting relationships with supervis</w:t>
            </w:r>
            <w:r w:rsidRPr="00C50115">
              <w:t>or</w:t>
            </w:r>
          </w:p>
          <w:p w:rsidR="00000000" w:rsidP="00C50115">
            <w:pPr>
              <w:pStyle w:val="ListBullet"/>
              <w:rPr>
                <w:lang w:val="en-NZ"/>
              </w:rPr>
            </w:pPr>
            <w:r w:rsidRPr="00C50115">
              <w:t>Support and liaise with health practitioners in handling and providing treatments to horses</w:t>
            </w:r>
          </w:p>
        </w:tc>
      </w:tr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ListBullet"/>
            </w:pPr>
            <w:r w:rsidRPr="00C50115">
              <w:t xml:space="preserve">Plan and sequence tasks and organise resources to complete work activities; monitoring </w:t>
            </w:r>
            <w:r w:rsidRPr="00C50115">
              <w:t>outcomes and adjusting plans to address priorities and contingencies</w:t>
            </w:r>
          </w:p>
        </w:tc>
      </w:tr>
    </w:tbl>
    <w:p w:rsidR="00000000" w:rsidRPr="00C50115" w:rsidP="00C50115">
      <w:pPr>
        <w:pStyle w:val="BodyText"/>
      </w:pPr>
    </w:p>
    <w:p w:rsidR="00000000" w:rsidRPr="00C50115" w:rsidP="00C50115">
      <w:pPr>
        <w:pStyle w:val="AllowPageBreak"/>
      </w:pPr>
    </w:p>
    <w:p w:rsidR="00000000" w:rsidRPr="00C50115" w:rsidP="00C50115">
      <w:pPr>
        <w:pStyle w:val="Heading1"/>
      </w:pPr>
      <w:bookmarkStart w:id="7" w:name="O_870403"/>
      <w:bookmarkEnd w:id="7"/>
      <w:r w:rsidRPr="00C50115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rPr>
                <w:rStyle w:val="SpecialBold"/>
              </w:rPr>
              <w:t>Equivalence status</w:t>
            </w:r>
          </w:p>
        </w:tc>
      </w:tr>
      <w:tr w:rsidTr="00C501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ACMHBR308 Maintain horses in a healthy state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AHCHBR308A Maintain horses in a healthy state and safe environment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t>Updated to meet Standards for Training Packages</w:t>
            </w:r>
          </w:p>
          <w:p w:rsidR="00000000" w:rsidRPr="00C50115" w:rsidP="00C50115">
            <w:pPr>
              <w:pStyle w:val="BodyText"/>
            </w:pPr>
            <w:r w:rsidRPr="00C50115">
              <w:t>Code changed to reflect appropriate industry sector usage</w:t>
            </w:r>
          </w:p>
          <w:p w:rsidR="00000000" w:rsidP="00C50115">
            <w:pPr>
              <w:pStyle w:val="BodyText"/>
              <w:rPr>
                <w:lang w:val="en-NZ"/>
              </w:rPr>
            </w:pPr>
            <w:r w:rsidRPr="00C50115">
              <w:t>Addition of prerequisite requirements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5" w:rsidP="00C50115">
            <w:pPr>
              <w:pStyle w:val="BodyText"/>
            </w:pPr>
            <w:r w:rsidRPr="00C50115">
              <w:t>No equivalent unit</w:t>
            </w:r>
          </w:p>
        </w:tc>
      </w:tr>
    </w:tbl>
    <w:p w:rsidR="00000000" w:rsidRPr="00C50115" w:rsidP="00C50115">
      <w:pPr>
        <w:pStyle w:val="BodyText"/>
      </w:pPr>
    </w:p>
    <w:p w:rsidR="00000000" w:rsidRPr="00C50115" w:rsidP="00C50115">
      <w:pPr>
        <w:pStyle w:val="AllowPageBreak"/>
      </w:pPr>
    </w:p>
    <w:p w:rsidR="00000000" w:rsidRPr="00C50115" w:rsidP="00C50115">
      <w:pPr>
        <w:pStyle w:val="Heading1"/>
      </w:pPr>
      <w:bookmarkStart w:id="8" w:name="O_870410"/>
      <w:bookmarkEnd w:id="8"/>
      <w:r w:rsidRPr="00C50115">
        <w:t>Links</w:t>
      </w:r>
    </w:p>
    <w:p w:rsidR="00000000" w:rsidRPr="00C50115" w:rsidP="009E401D">
      <w:pPr>
        <w:pStyle w:val="BodyText"/>
      </w:pPr>
      <w:r w:rsidRPr="00C501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00C0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50115" w:rsidP="00C50115"/>
    <w:sectPr w:rsidSect="00C501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15" w:rsidRPr="009E401D" w:rsidP="009E40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1D" w:rsidP="00C501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01D" w:rsidP="00C501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401D" w:rsidP="00C501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115" w:rsidRPr="009E401D" w:rsidP="009E40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1D" w:rsidRPr="002D2AF8" w:rsidP="00C501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ACMHBR308 Maintain horses in a healthy 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9E401D" w:rsidP="00C501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20B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F23C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1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1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1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1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1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1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1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1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1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1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1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115"/>
  </w:style>
  <w:style w:type="character" w:customStyle="1" w:styleId="Heading1Char">
    <w:name w:val="Heading 1 Char"/>
    <w:basedOn w:val="DefaultParagraphFont"/>
    <w:link w:val="Heading1"/>
    <w:rsid w:val="00C501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1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1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01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0115"/>
    <w:rPr>
      <w:b/>
      <w:spacing w:val="0"/>
    </w:rPr>
  </w:style>
  <w:style w:type="character" w:styleId="Emphasis">
    <w:name w:val="Emphasis"/>
    <w:basedOn w:val="DefaultParagraphFont"/>
    <w:qFormat/>
    <w:rsid w:val="00C50115"/>
    <w:rPr>
      <w:i/>
    </w:rPr>
  </w:style>
  <w:style w:type="paragraph" w:customStyle="1" w:styleId="SuperHeading">
    <w:name w:val="SuperHeading"/>
    <w:basedOn w:val="Normal"/>
    <w:rsid w:val="00C501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1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1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1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1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1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1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1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1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1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1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1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1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1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1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1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01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01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01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1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1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01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01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1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1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1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1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1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1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1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1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01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1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1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115"/>
  </w:style>
  <w:style w:type="paragraph" w:styleId="TableofFigures">
    <w:name w:val="table of figures"/>
    <w:basedOn w:val="Normal"/>
    <w:next w:val="Normal"/>
    <w:semiHidden/>
    <w:rsid w:val="00C501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1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0115"/>
    <w:rPr>
      <w:rFonts w:ascii="Wingdings" w:hAnsi="Wingdings"/>
    </w:rPr>
  </w:style>
  <w:style w:type="paragraph" w:customStyle="1" w:styleId="TableHeading">
    <w:name w:val="Table Heading"/>
    <w:basedOn w:val="HeadingBase"/>
    <w:rsid w:val="00C501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115"/>
    <w:rPr>
      <w:color w:val="0033CC"/>
      <w:u w:val="none"/>
    </w:rPr>
  </w:style>
  <w:style w:type="paragraph" w:customStyle="1" w:styleId="BodyTextRight">
    <w:name w:val="Body Text Right"/>
    <w:basedOn w:val="BodyText"/>
    <w:rsid w:val="00C501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1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1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1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1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1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115"/>
    <w:rPr>
      <w:sz w:val="32"/>
    </w:rPr>
  </w:style>
  <w:style w:type="paragraph" w:customStyle="1" w:styleId="HeadingProcedure">
    <w:name w:val="Heading Procedure"/>
    <w:basedOn w:val="HeadingBase"/>
    <w:next w:val="Normal"/>
    <w:rsid w:val="00C501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115"/>
    <w:pPr>
      <w:spacing w:before="60" w:after="60"/>
    </w:pPr>
  </w:style>
  <w:style w:type="paragraph" w:styleId="ListContinue">
    <w:name w:val="List Continue"/>
    <w:basedOn w:val="List"/>
    <w:rsid w:val="00C50115"/>
    <w:pPr>
      <w:ind w:firstLine="0"/>
    </w:pPr>
  </w:style>
  <w:style w:type="paragraph" w:customStyle="1" w:styleId="ListNote">
    <w:name w:val="List Note"/>
    <w:basedOn w:val="List"/>
    <w:rsid w:val="00C501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1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1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115"/>
    <w:rPr>
      <w:rFonts w:ascii="Courier New" w:hAnsi="Courier New"/>
    </w:rPr>
  </w:style>
  <w:style w:type="paragraph" w:customStyle="1" w:styleId="NoteBullet">
    <w:name w:val="Note Bullet"/>
    <w:basedOn w:val="Note"/>
    <w:rsid w:val="00C501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1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1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1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1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01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1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115"/>
    <w:rPr>
      <w:b/>
      <w:smallCaps/>
    </w:rPr>
  </w:style>
  <w:style w:type="paragraph" w:customStyle="1" w:styleId="TableListNumber">
    <w:name w:val="Table List Number"/>
    <w:basedOn w:val="ListNumber"/>
    <w:rsid w:val="00C501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1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115"/>
    <w:pPr>
      <w:numPr>
        <w:numId w:val="8"/>
      </w:numPr>
    </w:pPr>
  </w:style>
  <w:style w:type="paragraph" w:customStyle="1" w:styleId="ListAlpha2">
    <w:name w:val="List Alpha 2"/>
    <w:basedOn w:val="List2"/>
    <w:rsid w:val="00C50115"/>
    <w:pPr>
      <w:numPr>
        <w:numId w:val="7"/>
      </w:numPr>
    </w:pPr>
  </w:style>
  <w:style w:type="paragraph" w:styleId="List2">
    <w:name w:val="List 2"/>
    <w:basedOn w:val="BodyText"/>
    <w:rsid w:val="00C501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1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1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1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1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1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0115"/>
    <w:pPr>
      <w:numPr>
        <w:numId w:val="3"/>
      </w:numPr>
    </w:pPr>
  </w:style>
  <w:style w:type="paragraph" w:styleId="ListContinue2">
    <w:name w:val="List Continue 2"/>
    <w:basedOn w:val="List2"/>
    <w:rsid w:val="00C50115"/>
    <w:pPr>
      <w:ind w:firstLine="0"/>
    </w:pPr>
  </w:style>
  <w:style w:type="paragraph" w:styleId="ListContinue3">
    <w:name w:val="List Continue 3"/>
    <w:basedOn w:val="List3"/>
    <w:rsid w:val="00C50115"/>
    <w:pPr>
      <w:ind w:left="1021" w:firstLine="0"/>
    </w:pPr>
  </w:style>
  <w:style w:type="paragraph" w:styleId="ListContinue4">
    <w:name w:val="List Continue 4"/>
    <w:basedOn w:val="List4"/>
    <w:rsid w:val="00C50115"/>
    <w:pPr>
      <w:ind w:firstLine="0"/>
    </w:pPr>
  </w:style>
  <w:style w:type="paragraph" w:styleId="ListContinue5">
    <w:name w:val="List Continue 5"/>
    <w:basedOn w:val="List5"/>
    <w:rsid w:val="00C50115"/>
    <w:pPr>
      <w:ind w:firstLine="0"/>
    </w:pPr>
  </w:style>
  <w:style w:type="paragraph" w:styleId="ListNumber3">
    <w:name w:val="List Number 3"/>
    <w:basedOn w:val="List3"/>
    <w:rsid w:val="00C50115"/>
    <w:pPr>
      <w:numPr>
        <w:numId w:val="4"/>
      </w:numPr>
    </w:pPr>
  </w:style>
  <w:style w:type="paragraph" w:styleId="ListNumber4">
    <w:name w:val="List Number 4"/>
    <w:basedOn w:val="List4"/>
    <w:rsid w:val="00C50115"/>
    <w:pPr>
      <w:numPr>
        <w:numId w:val="5"/>
      </w:numPr>
    </w:pPr>
  </w:style>
  <w:style w:type="paragraph" w:styleId="ListNumber5">
    <w:name w:val="List Number 5"/>
    <w:basedOn w:val="List5"/>
    <w:rsid w:val="00C50115"/>
    <w:pPr>
      <w:numPr>
        <w:numId w:val="6"/>
      </w:numPr>
    </w:pPr>
  </w:style>
  <w:style w:type="paragraph" w:styleId="BlockText">
    <w:name w:val="Block Text"/>
    <w:basedOn w:val="Normal"/>
    <w:rsid w:val="00C501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1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115"/>
    <w:rPr>
      <w:sz w:val="16"/>
      <w:vertAlign w:val="superscript"/>
    </w:rPr>
  </w:style>
  <w:style w:type="character" w:customStyle="1" w:styleId="Symbols">
    <w:name w:val="Symbols"/>
    <w:basedOn w:val="DefaultParagraphFont"/>
    <w:rsid w:val="00C50115"/>
    <w:rPr>
      <w:rFonts w:ascii="Symbol" w:hAnsi="Symbol"/>
    </w:rPr>
  </w:style>
  <w:style w:type="character" w:customStyle="1" w:styleId="MenuOptions">
    <w:name w:val="Menu Options"/>
    <w:basedOn w:val="DefaultParagraphFont"/>
    <w:rsid w:val="00C501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115"/>
    <w:rPr>
      <w:b/>
    </w:rPr>
  </w:style>
  <w:style w:type="character" w:customStyle="1" w:styleId="Underlined">
    <w:name w:val="Underlined"/>
    <w:basedOn w:val="DefaultParagraphFont"/>
    <w:rsid w:val="00C50115"/>
    <w:rPr>
      <w:u w:val="single"/>
    </w:rPr>
  </w:style>
  <w:style w:type="paragraph" w:customStyle="1" w:styleId="TableBodyTextRight">
    <w:name w:val="Table Body Text Right"/>
    <w:basedOn w:val="TableBodyText"/>
    <w:rsid w:val="00C501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115"/>
    <w:rPr>
      <w:sz w:val="18"/>
    </w:rPr>
  </w:style>
  <w:style w:type="paragraph" w:customStyle="1" w:styleId="BodySmallRight">
    <w:name w:val="Body Small Right"/>
    <w:basedOn w:val="BodyTextRight"/>
    <w:rsid w:val="00C50115"/>
    <w:rPr>
      <w:sz w:val="18"/>
      <w:szCs w:val="18"/>
    </w:rPr>
  </w:style>
  <w:style w:type="paragraph" w:customStyle="1" w:styleId="MarginEdition">
    <w:name w:val="Margin Edition"/>
    <w:basedOn w:val="MarginNote"/>
    <w:rsid w:val="00C501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115"/>
    <w:rPr>
      <w:sz w:val="2"/>
      <w:szCs w:val="2"/>
    </w:rPr>
  </w:style>
  <w:style w:type="character" w:customStyle="1" w:styleId="Small">
    <w:name w:val="Small"/>
    <w:basedOn w:val="DefaultParagraphFont"/>
    <w:rsid w:val="00C50115"/>
    <w:rPr>
      <w:sz w:val="16"/>
    </w:rPr>
  </w:style>
  <w:style w:type="paragraph" w:customStyle="1" w:styleId="WideTable">
    <w:name w:val="Wide Table"/>
    <w:basedOn w:val="Normal"/>
    <w:rsid w:val="00C501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115"/>
  </w:style>
  <w:style w:type="paragraph" w:styleId="Quote">
    <w:name w:val="Quote"/>
    <w:basedOn w:val="Heading1"/>
    <w:link w:val="QuoteChar"/>
    <w:qFormat/>
    <w:rsid w:val="00C501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1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115"/>
    <w:pPr>
      <w:pageBreakBefore/>
    </w:pPr>
  </w:style>
  <w:style w:type="paragraph" w:customStyle="1" w:styleId="Border">
    <w:name w:val="Border"/>
    <w:basedOn w:val="Normal"/>
    <w:qFormat/>
    <w:rsid w:val="00C501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1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1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1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1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1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1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1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1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115"/>
    <w:rPr>
      <w:u w:val="single"/>
    </w:rPr>
  </w:style>
  <w:style w:type="character" w:customStyle="1" w:styleId="BoldandItalics">
    <w:name w:val="Bold and Italics"/>
    <w:qFormat/>
    <w:rsid w:val="00C50115"/>
    <w:rPr>
      <w:b/>
      <w:i/>
      <w:u w:val="none"/>
    </w:rPr>
  </w:style>
  <w:style w:type="paragraph" w:styleId="BalloonText">
    <w:name w:val="Balloon Text"/>
    <w:basedOn w:val="Normal"/>
    <w:link w:val="BalloonTextChar"/>
    <w:rsid w:val="00C501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1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1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1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1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1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115"/>
    <w:pPr>
      <w:spacing w:before="0" w:after="0"/>
    </w:pPr>
  </w:style>
  <w:style w:type="paragraph" w:customStyle="1" w:styleId="BodyTextBold">
    <w:name w:val="Body Text Bold"/>
    <w:basedOn w:val="BodyText"/>
    <w:qFormat/>
    <w:rsid w:val="00C50115"/>
    <w:rPr>
      <w:b/>
    </w:rPr>
  </w:style>
  <w:style w:type="character" w:styleId="Hyperlink">
    <w:name w:val="Hyperlink"/>
    <w:basedOn w:val="DefaultParagraphFont"/>
    <w:uiPriority w:val="99"/>
    <w:unhideWhenUsed/>
    <w:rsid w:val="009E40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4763</Characters>
  <Application>Microsoft Office Word</Application>
  <DocSecurity>0</DocSecurity>
  <Lines>164</Lines>
  <Paragraphs>98</Paragraphs>
  <ScaleCrop>false</ScaleCrop>
  <Company>Author-it Software Corporation Ltd.</Company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ACMHBR308 Maintain horses in a healthy state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2021-07-23T04:44:00Z</dcterms:created>
  <dcterms:modified xsi:type="dcterms:W3CDTF">2021-07-23T04:44:00Z</dcterms:modified>
</cp:coreProperties>
</file>