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092A" w:rsidP="00CB09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ACMHBR307 Handle young horses</w:t>
      </w:r>
      <w:r>
        <w:fldChar w:fldCharType="end"/>
      </w:r>
    </w:p>
    <w:p w:rsidR="00CB092A" w:rsidP="00CB092A">
      <w:pPr>
        <w:pStyle w:val="Version"/>
        <w:sectPr w:rsidSect="00654E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E9E" w:rsidP="00654E9E">
      <w:pPr>
        <w:pStyle w:val="SuperHeading"/>
      </w:pPr>
      <w:r w:rsidRPr="00654E9E">
        <w:t>ACMHBR307 Handle young horses</w:t>
      </w:r>
    </w:p>
    <w:p w:rsidR="00000000" w:rsidRPr="00654E9E" w:rsidP="00654E9E">
      <w:pPr>
        <w:pStyle w:val="Heading1"/>
      </w:pPr>
      <w:bookmarkStart w:id="1" w:name="O_870371"/>
      <w:bookmarkEnd w:id="1"/>
      <w:r w:rsidRPr="00654E9E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654E9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9E" w:rsidP="00654E9E">
            <w:pPr>
              <w:pStyle w:val="BodyText"/>
            </w:pPr>
            <w:r w:rsidRPr="00654E9E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9E">
            <w:pPr>
              <w:pStyle w:val="BodyText"/>
              <w:rPr>
                <w:lang w:val="en-NZ"/>
              </w:rPr>
            </w:pPr>
            <w:r w:rsidRPr="00654E9E">
              <w:rPr>
                <w:rStyle w:val="SpecialBold"/>
              </w:rPr>
              <w:t>Comments</w:t>
            </w:r>
          </w:p>
        </w:tc>
      </w:tr>
      <w:tr w:rsidTr="00654E9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9E">
            <w:pPr>
              <w:pStyle w:val="BodyText"/>
              <w:rPr>
                <w:lang w:val="en-NZ"/>
              </w:rPr>
            </w:pPr>
            <w:r w:rsidRPr="00654E9E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9E" w:rsidP="00654E9E">
            <w:pPr>
              <w:pStyle w:val="BodyText"/>
            </w:pPr>
            <w:r w:rsidRPr="00654E9E">
              <w:t>This version released with ACM Animal Care and Management Training Package Version 1.0.</w:t>
            </w:r>
          </w:p>
        </w:tc>
      </w:tr>
    </w:tbl>
    <w:p w:rsidR="00000000" w:rsidRPr="00654E9E" w:rsidP="00654E9E">
      <w:pPr>
        <w:pStyle w:val="BodyText"/>
      </w:pPr>
    </w:p>
    <w:p w:rsidR="00000000" w:rsidRPr="00654E9E" w:rsidP="00654E9E">
      <w:pPr>
        <w:pStyle w:val="AllowPageBreak"/>
      </w:pPr>
    </w:p>
    <w:p w:rsidR="00000000" w:rsidRPr="00654E9E" w:rsidP="00654E9E">
      <w:pPr>
        <w:pStyle w:val="Heading1"/>
      </w:pPr>
      <w:bookmarkStart w:id="2" w:name="O_870372"/>
      <w:bookmarkEnd w:id="2"/>
      <w:r w:rsidRPr="00654E9E">
        <w:t>Application</w:t>
      </w:r>
    </w:p>
    <w:p w:rsidR="00000000" w:rsidRPr="00654E9E" w:rsidP="00CB092A">
      <w:pPr>
        <w:pStyle w:val="BodyText"/>
      </w:pPr>
      <w:r w:rsidRPr="00654E9E">
        <w:t>This unit of competency describes the skills and knowledge required to handle young hors</w:t>
      </w:r>
      <w:r w:rsidRPr="00654E9E">
        <w:t>es in order to conduct a range of routine tasks, including catching and weaning foals and preparing yearlings for sale.</w:t>
      </w:r>
    </w:p>
    <w:p w:rsidR="00000000" w:rsidRPr="00654E9E" w:rsidP="00CB092A">
      <w:pPr>
        <w:pStyle w:val="BodyText"/>
      </w:pPr>
      <w:r w:rsidRPr="00654E9E">
        <w:t>The unit applies to individuals who work under broad direction and take responsibility for their own work. They complete routine activit</w:t>
      </w:r>
      <w:r w:rsidRPr="00654E9E">
        <w:t>ies and work in a range of known contexts within horse breeding and horse industry environments.</w:t>
      </w:r>
    </w:p>
    <w:p w:rsidR="00000000" w:rsidRPr="00654E9E" w:rsidP="00CB092A">
      <w:pPr>
        <w:pStyle w:val="BodyText"/>
      </w:pPr>
      <w:r w:rsidRPr="00654E9E">
        <w:t>No occupational licensing or certification requirements apply to this unit at the time of publication.</w:t>
      </w:r>
    </w:p>
    <w:p w:rsidR="00000000" w:rsidRPr="00654E9E" w:rsidP="00CB092A">
      <w:pPr>
        <w:pStyle w:val="BodyText"/>
      </w:pPr>
      <w:r w:rsidRPr="00654E9E">
        <w:t>Work health and safety and animal welfare legislation re</w:t>
      </w:r>
      <w:r w:rsidRPr="00654E9E">
        <w:t>levant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654E9E" w:rsidP="00CB092A">
      <w:pPr>
        <w:pStyle w:val="BodyText"/>
      </w:pPr>
      <w:r w:rsidRPr="00654E9E">
        <w:t xml:space="preserve">NOTE: The terms </w:t>
      </w:r>
      <w:r>
        <w:t>‘</w:t>
      </w:r>
      <w:r w:rsidRPr="00654E9E">
        <w:t>occupati</w:t>
      </w:r>
      <w:r w:rsidRPr="00654E9E">
        <w:t>onal health and safety</w:t>
      </w:r>
      <w:r>
        <w:t>’</w:t>
      </w:r>
      <w:r w:rsidRPr="00654E9E">
        <w:t xml:space="preserve"> (OHS) and </w:t>
      </w:r>
      <w:r>
        <w:t>‘</w:t>
      </w:r>
      <w:r w:rsidRPr="00654E9E">
        <w:t>work health and safety</w:t>
      </w:r>
      <w:r>
        <w:t>’</w:t>
      </w:r>
      <w:r w:rsidRPr="00654E9E">
        <w:t xml:space="preserve"> (WHS) generally have the same meaning in the workplace. In jurisdictions where the national model WHS legislation has not been implemented, RTOs must contextualise the unit of competency by referri</w:t>
      </w:r>
      <w:r w:rsidRPr="00654E9E">
        <w:t>ng to current OHS legislative requirements.</w:t>
      </w:r>
    </w:p>
    <w:p w:rsidR="00000000" w:rsidRPr="00654E9E" w:rsidP="00654E9E">
      <w:pPr>
        <w:pStyle w:val="Heading1"/>
      </w:pPr>
      <w:bookmarkStart w:id="3" w:name="O_870373"/>
      <w:bookmarkEnd w:id="3"/>
      <w:r w:rsidRPr="00654E9E">
        <w:t>Pre-requisite Unit</w:t>
      </w:r>
    </w:p>
    <w:p w:rsidR="00000000" w:rsidRPr="00654E9E" w:rsidP="00CB092A">
      <w:pPr>
        <w:pStyle w:val="BodyText"/>
      </w:pPr>
      <w:r w:rsidRPr="00654E9E">
        <w:t>Prerequisite unit of competency for this unit is:</w:t>
      </w:r>
    </w:p>
    <w:p w:rsidR="00000000" w:rsidRPr="00654E9E" w:rsidP="00654E9E">
      <w:pPr>
        <w:pStyle w:val="ListBullet"/>
      </w:pPr>
      <w:r w:rsidRPr="00654E9E">
        <w:t>ACMEQU202 Handle horses safely.</w:t>
      </w:r>
    </w:p>
    <w:p w:rsidR="00000000" w:rsidRPr="00654E9E" w:rsidP="00654E9E">
      <w:pPr>
        <w:pStyle w:val="BodyText"/>
      </w:pPr>
    </w:p>
    <w:p w:rsidR="00000000" w:rsidRPr="00654E9E" w:rsidP="00CB092A">
      <w:pPr>
        <w:pStyle w:val="BodyText"/>
      </w:pPr>
      <w:r w:rsidRPr="00654E9E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654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9E" w:rsidP="00654E9E">
            <w:pPr>
              <w:pStyle w:val="BodyText"/>
            </w:pPr>
            <w:r w:rsidRPr="00654E9E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9E">
            <w:pPr>
              <w:pStyle w:val="BodyText"/>
              <w:rPr>
                <w:lang w:val="en-NZ"/>
              </w:rPr>
            </w:pPr>
            <w:r w:rsidRPr="00654E9E">
              <w:rPr>
                <w:rStyle w:val="SpecialBold"/>
              </w:rPr>
              <w:t>Prerequisite requirement</w:t>
            </w:r>
          </w:p>
        </w:tc>
      </w:tr>
      <w:tr w:rsidTr="00654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9E">
            <w:pPr>
              <w:pStyle w:val="BodyText"/>
              <w:rPr>
                <w:lang w:val="en-NZ"/>
              </w:rPr>
            </w:pPr>
            <w:r w:rsidRPr="00654E9E">
              <w:t>ACMEQU202 Handle horses safely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9E" w:rsidP="00654E9E">
            <w:pPr>
              <w:pStyle w:val="BodyText"/>
            </w:pPr>
            <w:r w:rsidRPr="00654E9E">
              <w:t>ACMEQU205 Apply knowledge of horse behaviour</w:t>
            </w:r>
          </w:p>
        </w:tc>
      </w:tr>
    </w:tbl>
    <w:p w:rsidR="00000000" w:rsidRPr="00654E9E" w:rsidP="00654E9E">
      <w:pPr>
        <w:pStyle w:val="BodyText"/>
      </w:pPr>
    </w:p>
    <w:p w:rsidR="00000000" w:rsidRPr="00654E9E" w:rsidP="00654E9E">
      <w:pPr>
        <w:pStyle w:val="AllowPageBreak"/>
      </w:pPr>
    </w:p>
    <w:p w:rsidR="00000000" w:rsidRPr="00654E9E" w:rsidP="00654E9E">
      <w:pPr>
        <w:pStyle w:val="Heading1"/>
      </w:pPr>
      <w:bookmarkStart w:id="4" w:name="O_870375"/>
      <w:bookmarkEnd w:id="4"/>
      <w:r w:rsidRPr="00654E9E">
        <w:t>Unit Sector</w:t>
      </w:r>
    </w:p>
    <w:p w:rsidR="00000000" w:rsidRPr="00654E9E" w:rsidP="00CB092A">
      <w:pPr>
        <w:pStyle w:val="BodyText"/>
      </w:pPr>
      <w:r w:rsidRPr="00654E9E">
        <w:t>Horse Breeding (HBR)</w:t>
      </w:r>
    </w:p>
    <w:p w:rsidR="00000000" w:rsidRPr="00654E9E" w:rsidP="00654E9E">
      <w:pPr>
        <w:pStyle w:val="Heading1"/>
      </w:pPr>
      <w:bookmarkStart w:id="5" w:name="O_870376"/>
      <w:bookmarkEnd w:id="5"/>
      <w:r w:rsidRPr="00654E9E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CB092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9E" w:rsidP="00654E9E">
            <w:pPr>
              <w:pStyle w:val="BodyText"/>
            </w:pPr>
            <w:r w:rsidRPr="00654E9E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9E">
            <w:pPr>
              <w:pStyle w:val="BodyText"/>
              <w:rPr>
                <w:lang w:val="en-NZ"/>
              </w:rPr>
            </w:pPr>
            <w:r w:rsidRPr="00654E9E">
              <w:rPr>
                <w:rStyle w:val="SpecialBold"/>
              </w:rPr>
              <w:t>Performance Criteria</w:t>
            </w:r>
          </w:p>
        </w:tc>
      </w:tr>
      <w:tr w:rsidTr="00CB092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9E" w:rsidP="00654E9E">
            <w:pPr>
              <w:pStyle w:val="BodyText"/>
            </w:pPr>
            <w:r w:rsidRPr="00654E9E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9E">
            <w:pPr>
              <w:pStyle w:val="BodyText"/>
              <w:rPr>
                <w:lang w:val="en-NZ"/>
              </w:rPr>
            </w:pPr>
            <w:r w:rsidRPr="00654E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092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9E">
            <w:pPr>
              <w:pStyle w:val="BodyText"/>
              <w:rPr>
                <w:lang w:val="en-NZ"/>
              </w:rPr>
            </w:pPr>
            <w:r w:rsidRPr="00654E9E">
              <w:t>1. Prepare for work with young horses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9E" w:rsidP="00654E9E">
            <w:pPr>
              <w:pStyle w:val="BodyText"/>
            </w:pPr>
            <w:r w:rsidRPr="00654E9E">
              <w:t>1.1 Interpret and clarify work instructions and workplace procedures for handling young horses</w:t>
            </w:r>
          </w:p>
          <w:p w:rsidR="00000000" w:rsidRPr="00654E9E" w:rsidP="00654E9E">
            <w:pPr>
              <w:pStyle w:val="BodyText"/>
            </w:pPr>
            <w:r w:rsidRPr="00654E9E">
              <w:t>1.2 Identify hazards and risks associated with catching and handling young horses, and implement control measures to minimise</w:t>
            </w:r>
          </w:p>
          <w:p w:rsidR="00000000" w:rsidRPr="00654E9E" w:rsidP="00654E9E">
            <w:pPr>
              <w:pStyle w:val="BodyText"/>
            </w:pPr>
            <w:r w:rsidRPr="00654E9E">
              <w:t>1.3 Assemble and check gear, equipm</w:t>
            </w:r>
            <w:r w:rsidRPr="00654E9E">
              <w:t>ent and yard, and crush for safe use</w:t>
            </w:r>
          </w:p>
          <w:p w:rsidR="00000000" w:rsidP="00654E9E">
            <w:pPr>
              <w:pStyle w:val="BodyText"/>
              <w:rPr>
                <w:lang w:val="en-NZ"/>
              </w:rPr>
            </w:pPr>
            <w:r w:rsidRPr="00654E9E">
              <w:t>1.4 Ensure records relating to young horses are updated regularly and accurately according to workplace requirements</w:t>
            </w:r>
          </w:p>
        </w:tc>
      </w:tr>
      <w:tr w:rsidTr="00CB092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9E">
            <w:pPr>
              <w:pStyle w:val="BodyText"/>
              <w:rPr>
                <w:lang w:val="en-NZ"/>
              </w:rPr>
            </w:pPr>
            <w:r w:rsidRPr="00654E9E">
              <w:t>2. Catch and handle foals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9E" w:rsidP="00654E9E">
            <w:pPr>
              <w:pStyle w:val="BodyText"/>
            </w:pPr>
            <w:r w:rsidRPr="00654E9E">
              <w:t>2.1 Catch foals of various ages using safe and ethical horse handling techn</w:t>
            </w:r>
            <w:r w:rsidRPr="00654E9E">
              <w:t>iques</w:t>
            </w:r>
          </w:p>
          <w:p w:rsidR="00000000" w:rsidP="00654E9E">
            <w:pPr>
              <w:pStyle w:val="BodyText"/>
              <w:rPr>
                <w:lang w:val="en-NZ"/>
              </w:rPr>
            </w:pPr>
            <w:r w:rsidRPr="00654E9E">
              <w:t>2.2 Restrain foals for routine health and husbandry procedures according to workplace practices</w:t>
            </w:r>
          </w:p>
        </w:tc>
      </w:tr>
      <w:tr w:rsidTr="00CB092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9E">
            <w:pPr>
              <w:pStyle w:val="BodyText"/>
              <w:rPr>
                <w:lang w:val="en-NZ"/>
              </w:rPr>
            </w:pPr>
            <w:r w:rsidRPr="00654E9E">
              <w:t>3. Assist with weaning foals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9E" w:rsidP="00654E9E">
            <w:pPr>
              <w:pStyle w:val="BodyText"/>
            </w:pPr>
            <w:r w:rsidRPr="00654E9E">
              <w:t>3.1 Identify suitable facilities for the safe handling, training and weaning of foals</w:t>
            </w:r>
          </w:p>
          <w:p w:rsidR="00000000" w:rsidRPr="00654E9E" w:rsidP="00654E9E">
            <w:pPr>
              <w:pStyle w:val="BodyText"/>
            </w:pPr>
            <w:r w:rsidRPr="00654E9E">
              <w:t>3.2 Fit foals with a halter</w:t>
            </w:r>
          </w:p>
          <w:p w:rsidR="00000000" w:rsidRPr="00654E9E" w:rsidP="00654E9E">
            <w:pPr>
              <w:pStyle w:val="BodyText"/>
            </w:pPr>
            <w:r w:rsidRPr="00654E9E">
              <w:t>3.3 Lead w</w:t>
            </w:r>
            <w:r w:rsidRPr="00654E9E">
              <w:t>eanling foals</w:t>
            </w:r>
          </w:p>
          <w:p w:rsidR="00000000" w:rsidRPr="00654E9E" w:rsidP="00654E9E">
            <w:pPr>
              <w:pStyle w:val="BodyText"/>
            </w:pPr>
            <w:r w:rsidRPr="00654E9E">
              <w:t>3.4 Handle weanling foal legs</w:t>
            </w:r>
          </w:p>
          <w:p w:rsidR="00000000" w:rsidP="00654E9E">
            <w:pPr>
              <w:pStyle w:val="BodyText"/>
              <w:rPr>
                <w:lang w:val="en-NZ"/>
              </w:rPr>
            </w:pPr>
            <w:r w:rsidRPr="00654E9E">
              <w:t>3.5 Pick up weanling foal feet</w:t>
            </w:r>
          </w:p>
        </w:tc>
      </w:tr>
      <w:tr w:rsidTr="00CB092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9E">
            <w:pPr>
              <w:pStyle w:val="BodyText"/>
              <w:rPr>
                <w:lang w:val="en-NZ"/>
              </w:rPr>
            </w:pPr>
            <w:r w:rsidRPr="00654E9E">
              <w:t>4. Perform routine tasks preparing and presenting yearlings for sale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9E" w:rsidP="00654E9E">
            <w:pPr>
              <w:pStyle w:val="BodyText"/>
            </w:pPr>
            <w:r w:rsidRPr="00654E9E">
              <w:t>4.1 Carry out routine daily checks of yearlings according to workplace procedures</w:t>
            </w:r>
          </w:p>
          <w:p w:rsidR="00000000" w:rsidRPr="00654E9E" w:rsidP="00654E9E">
            <w:pPr>
              <w:pStyle w:val="BodyText"/>
            </w:pPr>
            <w:r w:rsidRPr="00654E9E">
              <w:t>4.2 Lead yearlings for exercise and presentation</w:t>
            </w:r>
          </w:p>
          <w:p w:rsidR="00000000" w:rsidRPr="00654E9E" w:rsidP="00654E9E">
            <w:pPr>
              <w:pStyle w:val="BodyText"/>
            </w:pPr>
            <w:r w:rsidRPr="00654E9E">
              <w:t>4.3 Exercise yearlings on horse walkers and lungeing</w:t>
            </w:r>
          </w:p>
          <w:p w:rsidR="00000000" w:rsidRPr="00654E9E" w:rsidP="00654E9E">
            <w:pPr>
              <w:pStyle w:val="BodyText"/>
            </w:pPr>
            <w:r w:rsidRPr="00654E9E">
              <w:t>4.4 Shampoo, groom and trim yearlings in safe facility</w:t>
            </w:r>
          </w:p>
          <w:p w:rsidR="00000000" w:rsidRPr="00654E9E" w:rsidP="00654E9E">
            <w:pPr>
              <w:pStyle w:val="BodyText"/>
            </w:pPr>
            <w:r w:rsidRPr="00654E9E">
              <w:t>4.5 Fit bridles, bits, rugs and safety gear</w:t>
            </w:r>
          </w:p>
        </w:tc>
      </w:tr>
    </w:tbl>
    <w:p w:rsidR="00000000" w:rsidRPr="00654E9E" w:rsidP="00654E9E">
      <w:pPr>
        <w:pStyle w:val="BodyText"/>
      </w:pPr>
    </w:p>
    <w:p w:rsidR="00000000" w:rsidRPr="00654E9E" w:rsidP="00654E9E">
      <w:pPr>
        <w:pStyle w:val="AllowPageBreak"/>
      </w:pPr>
    </w:p>
    <w:p w:rsidR="00000000" w:rsidRPr="00654E9E" w:rsidP="00654E9E">
      <w:pPr>
        <w:pStyle w:val="Heading1"/>
      </w:pPr>
      <w:bookmarkStart w:id="6" w:name="O_870377"/>
      <w:bookmarkEnd w:id="6"/>
      <w:r w:rsidRPr="00654E9E">
        <w:t>Foundation Skills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654E9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9E">
            <w:pPr>
              <w:pStyle w:val="BodyText"/>
              <w:rPr>
                <w:lang w:val="en-NZ"/>
              </w:rPr>
            </w:pPr>
            <w:r w:rsidRPr="00654E9E">
              <w:rPr>
                <w:rStyle w:val="Emphasis"/>
              </w:rPr>
              <w:t>This section descr</w:t>
            </w:r>
            <w:r w:rsidRPr="00654E9E">
              <w:rPr>
                <w:rStyle w:val="Emphasis"/>
              </w:rPr>
              <w:t>ibes those language, literacy, numeracy and employment skills that are essential for performance in this unit of competency but are not explicit in the performance criteria.</w:t>
            </w:r>
          </w:p>
        </w:tc>
      </w:tr>
      <w:tr w:rsidTr="00654E9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9E" w:rsidP="00654E9E">
            <w:pPr>
              <w:pStyle w:val="BodyText"/>
            </w:pPr>
            <w:r w:rsidRPr="00654E9E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9E">
            <w:pPr>
              <w:pStyle w:val="BodyText"/>
              <w:rPr>
                <w:lang w:val="en-NZ"/>
              </w:rPr>
            </w:pPr>
            <w:r w:rsidRPr="00654E9E">
              <w:rPr>
                <w:rStyle w:val="SpecialBold"/>
              </w:rPr>
              <w:t>Description</w:t>
            </w:r>
          </w:p>
        </w:tc>
      </w:tr>
      <w:tr w:rsidTr="00654E9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9E">
            <w:pPr>
              <w:pStyle w:val="BodyText"/>
              <w:rPr>
                <w:lang w:val="en-NZ"/>
              </w:rPr>
            </w:pPr>
            <w:r w:rsidRPr="00654E9E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9E">
            <w:pPr>
              <w:pStyle w:val="ListBullet"/>
              <w:rPr>
                <w:lang w:val="en-NZ"/>
              </w:rPr>
            </w:pPr>
            <w:r w:rsidRPr="00654E9E">
              <w:t>Follow work health and safety, safe horse handling and animal welfare requirements associated with own role and area of work with young horses</w:t>
            </w:r>
          </w:p>
        </w:tc>
      </w:tr>
      <w:tr w:rsidTr="00654E9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9E">
            <w:pPr>
              <w:pStyle w:val="BodyText"/>
              <w:rPr>
                <w:lang w:val="en-NZ"/>
              </w:rPr>
            </w:pPr>
            <w:r w:rsidRPr="00654E9E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9E" w:rsidP="00654E9E">
            <w:pPr>
              <w:pStyle w:val="ListBullet"/>
            </w:pPr>
            <w:r w:rsidRPr="00654E9E">
              <w:t xml:space="preserve">Plan and sequence tasks, prioritising activities to achieve work outcomes for handling young </w:t>
            </w:r>
            <w:r w:rsidRPr="00654E9E">
              <w:t>horses</w:t>
            </w:r>
          </w:p>
        </w:tc>
      </w:tr>
    </w:tbl>
    <w:p w:rsidR="00000000" w:rsidRPr="00654E9E" w:rsidP="00654E9E">
      <w:pPr>
        <w:pStyle w:val="BodyText"/>
      </w:pPr>
    </w:p>
    <w:p w:rsidR="00000000" w:rsidRPr="00654E9E" w:rsidP="00654E9E">
      <w:pPr>
        <w:pStyle w:val="AllowPageBreak"/>
      </w:pPr>
    </w:p>
    <w:p w:rsidR="00000000" w:rsidRPr="00654E9E" w:rsidP="00654E9E">
      <w:pPr>
        <w:pStyle w:val="Heading1"/>
      </w:pPr>
      <w:bookmarkStart w:id="7" w:name="O_870379"/>
      <w:bookmarkEnd w:id="7"/>
      <w:r w:rsidRPr="00654E9E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654E9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9E" w:rsidP="00654E9E">
            <w:pPr>
              <w:pStyle w:val="BodyText"/>
            </w:pPr>
            <w:r w:rsidRPr="00654E9E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9E" w:rsidP="00654E9E">
            <w:pPr>
              <w:pStyle w:val="BodyText"/>
            </w:pPr>
            <w:r w:rsidRPr="00654E9E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9E" w:rsidP="00654E9E">
            <w:pPr>
              <w:pStyle w:val="BodyText"/>
            </w:pPr>
            <w:r w:rsidRPr="00654E9E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9E">
            <w:pPr>
              <w:pStyle w:val="BodyText"/>
              <w:rPr>
                <w:lang w:val="en-NZ"/>
              </w:rPr>
            </w:pPr>
            <w:r w:rsidRPr="00654E9E">
              <w:rPr>
                <w:rStyle w:val="SpecialBold"/>
              </w:rPr>
              <w:t>Equivalence status</w:t>
            </w:r>
          </w:p>
        </w:tc>
      </w:tr>
      <w:tr w:rsidTr="00654E9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9E">
            <w:pPr>
              <w:pStyle w:val="BodyText"/>
              <w:rPr>
                <w:lang w:val="en-NZ"/>
              </w:rPr>
            </w:pPr>
            <w:r w:rsidRPr="00654E9E">
              <w:t>ACMHBR307 Handle young horses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E9E">
            <w:pPr>
              <w:pStyle w:val="BodyText"/>
              <w:rPr>
                <w:lang w:val="en-NZ"/>
              </w:rPr>
            </w:pPr>
            <w:r w:rsidRPr="00654E9E">
              <w:t>AHCHBR202A Handle young horses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9E" w:rsidP="00654E9E">
            <w:pPr>
              <w:pStyle w:val="BodyText"/>
            </w:pPr>
            <w:r w:rsidRPr="00654E9E">
              <w:t>Updated to meet Standards for Training Packages</w:t>
            </w:r>
          </w:p>
          <w:p w:rsidR="00000000" w:rsidRPr="00654E9E" w:rsidP="00654E9E">
            <w:pPr>
              <w:pStyle w:val="BodyText"/>
            </w:pPr>
            <w:r w:rsidRPr="00654E9E">
              <w:t xml:space="preserve">Code changed to reflect appropriate industry sector usage and to meet AQF policy requirements. </w:t>
            </w:r>
          </w:p>
          <w:p w:rsidR="00000000" w:rsidRPr="00654E9E" w:rsidP="00654E9E">
            <w:pPr>
              <w:pStyle w:val="BodyText"/>
            </w:pPr>
            <w:r w:rsidRPr="00654E9E">
              <w:t>Element 1 added</w:t>
            </w:r>
          </w:p>
          <w:p w:rsidR="00000000" w:rsidP="00654E9E">
            <w:pPr>
              <w:pStyle w:val="BodyText"/>
              <w:rPr>
                <w:lang w:val="en-NZ"/>
              </w:rPr>
            </w:pPr>
            <w:r w:rsidRPr="00654E9E">
              <w:t>Additional prerequisite requirements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E9E" w:rsidP="00654E9E">
            <w:pPr>
              <w:pStyle w:val="BodyText"/>
            </w:pPr>
            <w:r w:rsidRPr="00654E9E">
              <w:t>No equivalent unit</w:t>
            </w:r>
          </w:p>
        </w:tc>
      </w:tr>
    </w:tbl>
    <w:p w:rsidR="00000000" w:rsidRPr="00654E9E" w:rsidP="00654E9E">
      <w:pPr>
        <w:pStyle w:val="BodyText"/>
      </w:pPr>
    </w:p>
    <w:p w:rsidR="00000000" w:rsidRPr="00654E9E" w:rsidP="00654E9E">
      <w:pPr>
        <w:pStyle w:val="AllowPageBreak"/>
      </w:pPr>
    </w:p>
    <w:p w:rsidR="00000000" w:rsidRPr="00654E9E" w:rsidP="00654E9E">
      <w:pPr>
        <w:pStyle w:val="Heading1"/>
      </w:pPr>
      <w:bookmarkStart w:id="8" w:name="O_870386"/>
      <w:bookmarkEnd w:id="8"/>
      <w:r w:rsidRPr="00654E9E">
        <w:t>Links</w:t>
      </w:r>
    </w:p>
    <w:p w:rsidR="00000000" w:rsidRPr="00654E9E" w:rsidP="00CB092A">
      <w:pPr>
        <w:pStyle w:val="BodyText"/>
      </w:pPr>
      <w:r w:rsidRPr="00654E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700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54E9E" w:rsidP="00CB092A">
      <w:pPr>
        <w:pStyle w:val="BodyText"/>
      </w:pPr>
      <w:r w:rsidRPr="00654E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2700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54E9E" w:rsidP="00654E9E"/>
    <w:sectPr w:rsidSect="00654E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9E" w:rsidRPr="00CB092A" w:rsidP="00CB09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92A" w:rsidP="00654E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092A" w:rsidP="00654E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092A" w:rsidP="00654E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9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E9E" w:rsidRPr="00CB092A" w:rsidP="00CB09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92A" w:rsidRPr="002D2AF8" w:rsidP="00654E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ACMHBR307 Handle young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CB092A" w:rsidP="00654E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984E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E8F6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E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E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E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E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E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E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E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E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E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E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E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E9E"/>
  </w:style>
  <w:style w:type="character" w:customStyle="1" w:styleId="Heading1Char">
    <w:name w:val="Heading 1 Char"/>
    <w:basedOn w:val="DefaultParagraphFont"/>
    <w:link w:val="Heading1"/>
    <w:rsid w:val="00654E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E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E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4E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4E9E"/>
    <w:rPr>
      <w:b/>
      <w:spacing w:val="0"/>
    </w:rPr>
  </w:style>
  <w:style w:type="character" w:styleId="Emphasis">
    <w:name w:val="Emphasis"/>
    <w:basedOn w:val="DefaultParagraphFont"/>
    <w:qFormat/>
    <w:rsid w:val="00654E9E"/>
    <w:rPr>
      <w:i/>
    </w:rPr>
  </w:style>
  <w:style w:type="paragraph" w:customStyle="1" w:styleId="SuperHeading">
    <w:name w:val="SuperHeading"/>
    <w:basedOn w:val="Normal"/>
    <w:rsid w:val="00654E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E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4E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E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E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E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E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E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E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E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E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E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E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E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E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E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E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4E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4E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E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E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4E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4E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E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E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E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E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E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E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E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E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4E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E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E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E9E"/>
  </w:style>
  <w:style w:type="paragraph" w:styleId="TableofFigures">
    <w:name w:val="table of figures"/>
    <w:basedOn w:val="Normal"/>
    <w:next w:val="Normal"/>
    <w:semiHidden/>
    <w:rsid w:val="00654E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E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4E9E"/>
    <w:rPr>
      <w:rFonts w:ascii="Wingdings" w:hAnsi="Wingdings"/>
    </w:rPr>
  </w:style>
  <w:style w:type="paragraph" w:customStyle="1" w:styleId="TableHeading">
    <w:name w:val="Table Heading"/>
    <w:basedOn w:val="HeadingBase"/>
    <w:rsid w:val="00654E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E9E"/>
    <w:rPr>
      <w:color w:val="0033CC"/>
      <w:u w:val="none"/>
    </w:rPr>
  </w:style>
  <w:style w:type="paragraph" w:customStyle="1" w:styleId="BodyTextRight">
    <w:name w:val="Body Text Right"/>
    <w:basedOn w:val="BodyText"/>
    <w:rsid w:val="00654E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E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E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E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E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E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E9E"/>
    <w:rPr>
      <w:sz w:val="32"/>
    </w:rPr>
  </w:style>
  <w:style w:type="paragraph" w:customStyle="1" w:styleId="HeadingProcedure">
    <w:name w:val="Heading Procedure"/>
    <w:basedOn w:val="HeadingBase"/>
    <w:next w:val="Normal"/>
    <w:rsid w:val="00654E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E9E"/>
    <w:pPr>
      <w:spacing w:before="60" w:after="60"/>
    </w:pPr>
  </w:style>
  <w:style w:type="paragraph" w:styleId="ListContinue">
    <w:name w:val="List Continue"/>
    <w:basedOn w:val="List"/>
    <w:rsid w:val="00654E9E"/>
    <w:pPr>
      <w:ind w:firstLine="0"/>
    </w:pPr>
  </w:style>
  <w:style w:type="paragraph" w:customStyle="1" w:styleId="ListNote">
    <w:name w:val="List Note"/>
    <w:basedOn w:val="List"/>
    <w:rsid w:val="00654E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E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E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E9E"/>
    <w:rPr>
      <w:rFonts w:ascii="Courier New" w:hAnsi="Courier New"/>
    </w:rPr>
  </w:style>
  <w:style w:type="paragraph" w:customStyle="1" w:styleId="NoteBullet">
    <w:name w:val="Note Bullet"/>
    <w:basedOn w:val="Note"/>
    <w:rsid w:val="00654E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E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E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E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E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4E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E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E9E"/>
    <w:rPr>
      <w:b/>
      <w:smallCaps/>
    </w:rPr>
  </w:style>
  <w:style w:type="paragraph" w:customStyle="1" w:styleId="TableListNumber">
    <w:name w:val="Table List Number"/>
    <w:basedOn w:val="ListNumber"/>
    <w:rsid w:val="00654E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E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E9E"/>
    <w:pPr>
      <w:numPr>
        <w:numId w:val="8"/>
      </w:numPr>
    </w:pPr>
  </w:style>
  <w:style w:type="paragraph" w:customStyle="1" w:styleId="ListAlpha2">
    <w:name w:val="List Alpha 2"/>
    <w:basedOn w:val="List2"/>
    <w:rsid w:val="00654E9E"/>
    <w:pPr>
      <w:numPr>
        <w:numId w:val="7"/>
      </w:numPr>
    </w:pPr>
  </w:style>
  <w:style w:type="paragraph" w:styleId="List2">
    <w:name w:val="List 2"/>
    <w:basedOn w:val="BodyText"/>
    <w:rsid w:val="00654E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E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E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E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E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E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4E9E"/>
    <w:pPr>
      <w:numPr>
        <w:numId w:val="3"/>
      </w:numPr>
    </w:pPr>
  </w:style>
  <w:style w:type="paragraph" w:styleId="ListContinue2">
    <w:name w:val="List Continue 2"/>
    <w:basedOn w:val="List2"/>
    <w:rsid w:val="00654E9E"/>
    <w:pPr>
      <w:ind w:firstLine="0"/>
    </w:pPr>
  </w:style>
  <w:style w:type="paragraph" w:styleId="ListContinue3">
    <w:name w:val="List Continue 3"/>
    <w:basedOn w:val="List3"/>
    <w:rsid w:val="00654E9E"/>
    <w:pPr>
      <w:ind w:left="1021" w:firstLine="0"/>
    </w:pPr>
  </w:style>
  <w:style w:type="paragraph" w:styleId="ListContinue4">
    <w:name w:val="List Continue 4"/>
    <w:basedOn w:val="List4"/>
    <w:rsid w:val="00654E9E"/>
    <w:pPr>
      <w:ind w:firstLine="0"/>
    </w:pPr>
  </w:style>
  <w:style w:type="paragraph" w:styleId="ListContinue5">
    <w:name w:val="List Continue 5"/>
    <w:basedOn w:val="List5"/>
    <w:rsid w:val="00654E9E"/>
    <w:pPr>
      <w:ind w:firstLine="0"/>
    </w:pPr>
  </w:style>
  <w:style w:type="paragraph" w:styleId="ListNumber3">
    <w:name w:val="List Number 3"/>
    <w:basedOn w:val="List3"/>
    <w:rsid w:val="00654E9E"/>
    <w:pPr>
      <w:numPr>
        <w:numId w:val="4"/>
      </w:numPr>
    </w:pPr>
  </w:style>
  <w:style w:type="paragraph" w:styleId="ListNumber4">
    <w:name w:val="List Number 4"/>
    <w:basedOn w:val="List4"/>
    <w:rsid w:val="00654E9E"/>
    <w:pPr>
      <w:numPr>
        <w:numId w:val="5"/>
      </w:numPr>
    </w:pPr>
  </w:style>
  <w:style w:type="paragraph" w:styleId="ListNumber5">
    <w:name w:val="List Number 5"/>
    <w:basedOn w:val="List5"/>
    <w:rsid w:val="00654E9E"/>
    <w:pPr>
      <w:numPr>
        <w:numId w:val="6"/>
      </w:numPr>
    </w:pPr>
  </w:style>
  <w:style w:type="paragraph" w:styleId="BlockText">
    <w:name w:val="Block Text"/>
    <w:basedOn w:val="Normal"/>
    <w:rsid w:val="00654E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E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E9E"/>
    <w:rPr>
      <w:sz w:val="16"/>
      <w:vertAlign w:val="superscript"/>
    </w:rPr>
  </w:style>
  <w:style w:type="character" w:customStyle="1" w:styleId="Symbols">
    <w:name w:val="Symbols"/>
    <w:basedOn w:val="DefaultParagraphFont"/>
    <w:rsid w:val="00654E9E"/>
    <w:rPr>
      <w:rFonts w:ascii="Symbol" w:hAnsi="Symbol"/>
    </w:rPr>
  </w:style>
  <w:style w:type="character" w:customStyle="1" w:styleId="MenuOptions">
    <w:name w:val="Menu Options"/>
    <w:basedOn w:val="DefaultParagraphFont"/>
    <w:rsid w:val="00654E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E9E"/>
    <w:rPr>
      <w:b/>
    </w:rPr>
  </w:style>
  <w:style w:type="character" w:customStyle="1" w:styleId="Underlined">
    <w:name w:val="Underlined"/>
    <w:basedOn w:val="DefaultParagraphFont"/>
    <w:rsid w:val="00654E9E"/>
    <w:rPr>
      <w:u w:val="single"/>
    </w:rPr>
  </w:style>
  <w:style w:type="paragraph" w:customStyle="1" w:styleId="TableBodyTextRight">
    <w:name w:val="Table Body Text Right"/>
    <w:basedOn w:val="TableBodyText"/>
    <w:rsid w:val="00654E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E9E"/>
    <w:rPr>
      <w:sz w:val="18"/>
    </w:rPr>
  </w:style>
  <w:style w:type="paragraph" w:customStyle="1" w:styleId="BodySmallRight">
    <w:name w:val="Body Small Right"/>
    <w:basedOn w:val="BodyTextRight"/>
    <w:rsid w:val="00654E9E"/>
    <w:rPr>
      <w:sz w:val="18"/>
      <w:szCs w:val="18"/>
    </w:rPr>
  </w:style>
  <w:style w:type="paragraph" w:customStyle="1" w:styleId="MarginEdition">
    <w:name w:val="Margin Edition"/>
    <w:basedOn w:val="MarginNote"/>
    <w:rsid w:val="00654E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E9E"/>
    <w:rPr>
      <w:sz w:val="2"/>
      <w:szCs w:val="2"/>
    </w:rPr>
  </w:style>
  <w:style w:type="character" w:customStyle="1" w:styleId="Small">
    <w:name w:val="Small"/>
    <w:basedOn w:val="DefaultParagraphFont"/>
    <w:rsid w:val="00654E9E"/>
    <w:rPr>
      <w:sz w:val="16"/>
    </w:rPr>
  </w:style>
  <w:style w:type="paragraph" w:customStyle="1" w:styleId="WideTable">
    <w:name w:val="Wide Table"/>
    <w:basedOn w:val="Normal"/>
    <w:rsid w:val="00654E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E9E"/>
  </w:style>
  <w:style w:type="paragraph" w:styleId="Quote">
    <w:name w:val="Quote"/>
    <w:basedOn w:val="Heading1"/>
    <w:link w:val="QuoteChar"/>
    <w:qFormat/>
    <w:rsid w:val="00654E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E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E9E"/>
    <w:pPr>
      <w:pageBreakBefore/>
    </w:pPr>
  </w:style>
  <w:style w:type="paragraph" w:customStyle="1" w:styleId="Border">
    <w:name w:val="Border"/>
    <w:basedOn w:val="Normal"/>
    <w:qFormat/>
    <w:rsid w:val="00654E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E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E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E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E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E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E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E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E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E9E"/>
    <w:rPr>
      <w:u w:val="single"/>
    </w:rPr>
  </w:style>
  <w:style w:type="character" w:customStyle="1" w:styleId="BoldandItalics">
    <w:name w:val="Bold and Italics"/>
    <w:qFormat/>
    <w:rsid w:val="00654E9E"/>
    <w:rPr>
      <w:b/>
      <w:i/>
      <w:u w:val="none"/>
    </w:rPr>
  </w:style>
  <w:style w:type="paragraph" w:styleId="BalloonText">
    <w:name w:val="Balloon Text"/>
    <w:basedOn w:val="Normal"/>
    <w:link w:val="BalloonTextChar"/>
    <w:rsid w:val="00654E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E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E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E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E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E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E9E"/>
    <w:pPr>
      <w:spacing w:before="0" w:after="0"/>
    </w:pPr>
  </w:style>
  <w:style w:type="paragraph" w:customStyle="1" w:styleId="BodyTextBold">
    <w:name w:val="Body Text Bold"/>
    <w:basedOn w:val="BodyText"/>
    <w:qFormat/>
    <w:rsid w:val="00654E9E"/>
    <w:rPr>
      <w:b/>
    </w:rPr>
  </w:style>
  <w:style w:type="character" w:styleId="Hyperlink">
    <w:name w:val="Hyperlink"/>
    <w:basedOn w:val="DefaultParagraphFont"/>
    <w:uiPriority w:val="99"/>
    <w:unhideWhenUsed/>
    <w:rsid w:val="00CB09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658</Words>
  <Characters>4020</Characters>
  <Application>Microsoft Office Word</Application>
  <DocSecurity>0</DocSecurity>
  <Lines>148</Lines>
  <Paragraphs>88</Paragraphs>
  <ScaleCrop>false</ScaleCrop>
  <Company>Author-it Software Corporation Ltd.</Company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ACMHBR307 Handle young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2021-07-23T04:30:00Z</dcterms:created>
  <dcterms:modified xsi:type="dcterms:W3CDTF">2021-07-23T04:30:00Z</dcterms:modified>
</cp:coreProperties>
</file>